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4E545" w14:textId="1C779A50" w:rsidR="002D1061" w:rsidRDefault="00A534AD" w:rsidP="00AD3DD6">
      <w:pPr>
        <w:pStyle w:val="a3"/>
        <w:kinsoku w:val="0"/>
        <w:overflowPunct w:val="0"/>
        <w:spacing w:line="361" w:lineRule="exact"/>
        <w:ind w:right="45"/>
        <w:jc w:val="center"/>
        <w:rPr>
          <w:b/>
          <w:bCs/>
          <w:sz w:val="28"/>
          <w:szCs w:val="28"/>
        </w:rPr>
      </w:pPr>
      <w:bookmarkStart w:id="0" w:name="國立中興大學社會實踐服務優良獎勵辦法"/>
      <w:bookmarkEnd w:id="0"/>
      <w:r>
        <w:rPr>
          <w:rFonts w:hint="eastAsia"/>
          <w:b/>
          <w:bCs/>
          <w:sz w:val="28"/>
          <w:szCs w:val="28"/>
        </w:rPr>
        <w:t>國立</w:t>
      </w:r>
      <w:r w:rsidR="002D1061">
        <w:rPr>
          <w:rFonts w:hint="eastAsia"/>
          <w:b/>
          <w:bCs/>
          <w:sz w:val="28"/>
          <w:szCs w:val="28"/>
        </w:rPr>
        <w:t>澎湖科技</w:t>
      </w:r>
      <w:r>
        <w:rPr>
          <w:rFonts w:hint="eastAsia"/>
          <w:b/>
          <w:bCs/>
          <w:sz w:val="28"/>
          <w:szCs w:val="28"/>
        </w:rPr>
        <w:t>大學</w:t>
      </w:r>
      <w:r w:rsidR="00E37B2B">
        <w:rPr>
          <w:rFonts w:hint="eastAsia"/>
          <w:b/>
          <w:bCs/>
          <w:sz w:val="28"/>
          <w:szCs w:val="28"/>
        </w:rPr>
        <w:t>推動</w:t>
      </w:r>
      <w:r w:rsidR="00D546DA">
        <w:rPr>
          <w:rFonts w:hint="eastAsia"/>
          <w:b/>
          <w:bCs/>
          <w:sz w:val="28"/>
          <w:szCs w:val="28"/>
        </w:rPr>
        <w:t>大學</w:t>
      </w:r>
      <w:r>
        <w:rPr>
          <w:rFonts w:hint="eastAsia"/>
          <w:b/>
          <w:bCs/>
          <w:sz w:val="28"/>
          <w:szCs w:val="28"/>
        </w:rPr>
        <w:t>社會</w:t>
      </w:r>
      <w:r w:rsidR="00E37B2B">
        <w:rPr>
          <w:rFonts w:hint="eastAsia"/>
          <w:b/>
          <w:bCs/>
          <w:sz w:val="28"/>
          <w:szCs w:val="28"/>
        </w:rPr>
        <w:t>責任</w:t>
      </w:r>
      <w:r>
        <w:rPr>
          <w:rFonts w:hint="eastAsia"/>
          <w:b/>
          <w:bCs/>
          <w:sz w:val="28"/>
          <w:szCs w:val="28"/>
        </w:rPr>
        <w:t>優良</w:t>
      </w:r>
      <w:r w:rsidR="00902652">
        <w:rPr>
          <w:rFonts w:hint="eastAsia"/>
          <w:b/>
          <w:bCs/>
          <w:sz w:val="28"/>
          <w:szCs w:val="28"/>
        </w:rPr>
        <w:t>教師</w:t>
      </w:r>
      <w:r>
        <w:rPr>
          <w:rFonts w:hint="eastAsia"/>
          <w:b/>
          <w:bCs/>
          <w:sz w:val="28"/>
          <w:szCs w:val="28"/>
        </w:rPr>
        <w:t>獎勵</w:t>
      </w:r>
      <w:r w:rsidR="002D1061">
        <w:rPr>
          <w:rFonts w:hint="eastAsia"/>
          <w:b/>
          <w:bCs/>
          <w:sz w:val="28"/>
          <w:szCs w:val="28"/>
        </w:rPr>
        <w:t>辦法</w:t>
      </w:r>
    </w:p>
    <w:p w14:paraId="72BA611B" w14:textId="20443B51" w:rsidR="002D1061" w:rsidRDefault="002D1061" w:rsidP="004453C5">
      <w:pPr>
        <w:pStyle w:val="a3"/>
        <w:kinsoku w:val="0"/>
        <w:overflowPunct w:val="0"/>
        <w:spacing w:before="240" w:line="20" w:lineRule="exact"/>
        <w:ind w:left="2274"/>
        <w:jc w:val="right"/>
        <w:rPr>
          <w:rFonts w:ascii="Times New Roman" w:cs="Times New Roman"/>
          <w:spacing w:val="-8"/>
          <w:sz w:val="20"/>
          <w:szCs w:val="18"/>
        </w:rPr>
      </w:pPr>
      <w:r w:rsidRPr="008453D3">
        <w:rPr>
          <w:rFonts w:ascii="Times New Roman" w:cs="Times New Roman"/>
          <w:sz w:val="20"/>
          <w:szCs w:val="18"/>
        </w:rPr>
        <w:t>111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</w:t>
      </w:r>
      <w:r w:rsidRPr="008453D3">
        <w:rPr>
          <w:rFonts w:ascii="Times New Roman" w:cs="Times New Roman"/>
          <w:spacing w:val="-36"/>
          <w:sz w:val="20"/>
          <w:szCs w:val="18"/>
        </w:rPr>
        <w:t>年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 </w:t>
      </w:r>
      <w:r w:rsidR="008453D3" w:rsidRPr="008453D3">
        <w:rPr>
          <w:rFonts w:ascii="Times New Roman" w:cs="Times New Roman"/>
          <w:spacing w:val="-36"/>
          <w:sz w:val="20"/>
          <w:szCs w:val="18"/>
        </w:rPr>
        <w:t>7</w:t>
      </w:r>
      <w:r w:rsidRPr="008453D3">
        <w:rPr>
          <w:rFonts w:ascii="Times New Roman" w:cs="Times New Roman"/>
          <w:spacing w:val="-36"/>
          <w:sz w:val="20"/>
          <w:szCs w:val="18"/>
        </w:rPr>
        <w:t>月</w:t>
      </w:r>
      <w:r w:rsidR="008453D3" w:rsidRPr="008453D3">
        <w:rPr>
          <w:rFonts w:ascii="Times New Roman" w:cs="Times New Roman" w:hint="eastAsia"/>
          <w:spacing w:val="-36"/>
          <w:sz w:val="20"/>
          <w:szCs w:val="18"/>
        </w:rPr>
        <w:t>14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 </w:t>
      </w:r>
      <w:r w:rsidRPr="008453D3">
        <w:rPr>
          <w:rFonts w:ascii="Times New Roman" w:cs="Times New Roman"/>
          <w:spacing w:val="-36"/>
          <w:sz w:val="20"/>
          <w:szCs w:val="18"/>
        </w:rPr>
        <w:t>日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  </w:t>
      </w:r>
      <w:r w:rsidRPr="008453D3">
        <w:rPr>
          <w:rFonts w:ascii="Times New Roman" w:cs="Times New Roman"/>
          <w:spacing w:val="-19"/>
          <w:sz w:val="20"/>
          <w:szCs w:val="18"/>
        </w:rPr>
        <w:t xml:space="preserve"> </w:t>
      </w:r>
      <w:r w:rsidR="008453D3" w:rsidRPr="008453D3">
        <w:rPr>
          <w:rFonts w:ascii="Times New Roman" w:cs="Times New Roman"/>
          <w:spacing w:val="-19"/>
          <w:sz w:val="20"/>
          <w:szCs w:val="18"/>
        </w:rPr>
        <w:t>110</w:t>
      </w:r>
      <w:r w:rsidRPr="008453D3">
        <w:rPr>
          <w:rFonts w:ascii="Times New Roman" w:cs="Times New Roman"/>
          <w:spacing w:val="-19"/>
          <w:sz w:val="20"/>
          <w:szCs w:val="18"/>
        </w:rPr>
        <w:t>學年度第</w:t>
      </w:r>
      <w:r w:rsidR="008453D3" w:rsidRPr="008453D3">
        <w:rPr>
          <w:rFonts w:ascii="Times New Roman" w:cs="Times New Roman" w:hint="eastAsia"/>
          <w:spacing w:val="-19"/>
          <w:sz w:val="20"/>
          <w:szCs w:val="18"/>
        </w:rPr>
        <w:t>2</w:t>
      </w:r>
      <w:r w:rsidRPr="008453D3">
        <w:rPr>
          <w:rFonts w:ascii="Times New Roman" w:cs="Times New Roman"/>
          <w:spacing w:val="-22"/>
          <w:sz w:val="20"/>
          <w:szCs w:val="18"/>
        </w:rPr>
        <w:t>學期</w:t>
      </w:r>
      <w:r w:rsidRPr="008453D3">
        <w:rPr>
          <w:rFonts w:ascii="Times New Roman" w:cs="Times New Roman"/>
          <w:color w:val="FF0000"/>
          <w:spacing w:val="-22"/>
          <w:sz w:val="20"/>
          <w:szCs w:val="18"/>
        </w:rPr>
        <w:t>第</w:t>
      </w:r>
      <w:r w:rsidR="000F4F33">
        <w:rPr>
          <w:rFonts w:ascii="Times New Roman" w:cs="Times New Roman"/>
          <w:color w:val="FF0000"/>
          <w:spacing w:val="-22"/>
          <w:sz w:val="20"/>
          <w:szCs w:val="18"/>
        </w:rPr>
        <w:t>6</w:t>
      </w:r>
      <w:r w:rsidRPr="008453D3">
        <w:rPr>
          <w:rFonts w:ascii="Times New Roman" w:cs="Times New Roman"/>
          <w:color w:val="FF0000"/>
          <w:spacing w:val="-8"/>
          <w:sz w:val="20"/>
          <w:szCs w:val="18"/>
        </w:rPr>
        <w:t>次</w:t>
      </w:r>
      <w:r w:rsidRPr="008453D3">
        <w:rPr>
          <w:rFonts w:ascii="Times New Roman" w:cs="Times New Roman"/>
          <w:spacing w:val="-8"/>
          <w:sz w:val="20"/>
          <w:szCs w:val="18"/>
        </w:rPr>
        <w:t>行政會議通過</w:t>
      </w:r>
    </w:p>
    <w:p w14:paraId="74A45350" w14:textId="5B0DBFE2" w:rsidR="004453C5" w:rsidRPr="008453D3" w:rsidRDefault="004453C5" w:rsidP="004453C5">
      <w:pPr>
        <w:pStyle w:val="a3"/>
        <w:kinsoku w:val="0"/>
        <w:overflowPunct w:val="0"/>
        <w:spacing w:before="240" w:line="20" w:lineRule="exact"/>
        <w:ind w:left="2274"/>
        <w:jc w:val="right"/>
        <w:rPr>
          <w:rFonts w:ascii="Times New Roman" w:cs="Times New Roman" w:hint="eastAsia"/>
          <w:spacing w:val="-8"/>
          <w:sz w:val="20"/>
          <w:szCs w:val="18"/>
        </w:rPr>
      </w:pPr>
      <w:r w:rsidRPr="008453D3">
        <w:rPr>
          <w:rFonts w:ascii="Times New Roman" w:cs="Times New Roman"/>
          <w:sz w:val="20"/>
          <w:szCs w:val="18"/>
        </w:rPr>
        <w:t>11</w:t>
      </w:r>
      <w:r>
        <w:rPr>
          <w:rFonts w:ascii="Times New Roman" w:cs="Times New Roman" w:hint="eastAsia"/>
          <w:sz w:val="20"/>
          <w:szCs w:val="18"/>
        </w:rPr>
        <w:t>2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</w:t>
      </w:r>
      <w:r w:rsidRPr="008453D3">
        <w:rPr>
          <w:rFonts w:ascii="Times New Roman" w:cs="Times New Roman"/>
          <w:spacing w:val="-36"/>
          <w:sz w:val="20"/>
          <w:szCs w:val="18"/>
        </w:rPr>
        <w:t>年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 7</w:t>
      </w:r>
      <w:r w:rsidRPr="008453D3">
        <w:rPr>
          <w:rFonts w:ascii="Times New Roman" w:cs="Times New Roman"/>
          <w:spacing w:val="-36"/>
          <w:sz w:val="20"/>
          <w:szCs w:val="18"/>
        </w:rPr>
        <w:t>月</w:t>
      </w:r>
      <w:r w:rsidRPr="008453D3">
        <w:rPr>
          <w:rFonts w:ascii="Times New Roman" w:cs="Times New Roman" w:hint="eastAsia"/>
          <w:spacing w:val="-36"/>
          <w:sz w:val="20"/>
          <w:szCs w:val="18"/>
        </w:rPr>
        <w:t>1</w:t>
      </w:r>
      <w:r>
        <w:rPr>
          <w:rFonts w:ascii="Times New Roman" w:cs="Times New Roman" w:hint="eastAsia"/>
          <w:spacing w:val="-36"/>
          <w:sz w:val="20"/>
          <w:szCs w:val="18"/>
        </w:rPr>
        <w:t>3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 </w:t>
      </w:r>
      <w:r w:rsidRPr="008453D3">
        <w:rPr>
          <w:rFonts w:ascii="Times New Roman" w:cs="Times New Roman"/>
          <w:spacing w:val="-36"/>
          <w:sz w:val="20"/>
          <w:szCs w:val="18"/>
        </w:rPr>
        <w:t>日</w:t>
      </w:r>
      <w:r w:rsidRPr="008453D3">
        <w:rPr>
          <w:rFonts w:ascii="Times New Roman" w:cs="Times New Roman"/>
          <w:spacing w:val="-36"/>
          <w:sz w:val="20"/>
          <w:szCs w:val="18"/>
        </w:rPr>
        <w:t xml:space="preserve">   </w:t>
      </w:r>
      <w:r w:rsidRPr="008453D3">
        <w:rPr>
          <w:rFonts w:ascii="Times New Roman" w:cs="Times New Roman"/>
          <w:spacing w:val="-19"/>
          <w:sz w:val="20"/>
          <w:szCs w:val="18"/>
        </w:rPr>
        <w:t xml:space="preserve"> 11</w:t>
      </w:r>
      <w:r>
        <w:rPr>
          <w:rFonts w:ascii="Times New Roman" w:cs="Times New Roman" w:hint="eastAsia"/>
          <w:spacing w:val="-19"/>
          <w:sz w:val="20"/>
          <w:szCs w:val="18"/>
        </w:rPr>
        <w:t>1</w:t>
      </w:r>
      <w:r w:rsidRPr="008453D3">
        <w:rPr>
          <w:rFonts w:ascii="Times New Roman" w:cs="Times New Roman"/>
          <w:spacing w:val="-19"/>
          <w:sz w:val="20"/>
          <w:szCs w:val="18"/>
        </w:rPr>
        <w:t>學年度第</w:t>
      </w:r>
      <w:r w:rsidRPr="008453D3">
        <w:rPr>
          <w:rFonts w:ascii="Times New Roman" w:cs="Times New Roman" w:hint="eastAsia"/>
          <w:spacing w:val="-19"/>
          <w:sz w:val="20"/>
          <w:szCs w:val="18"/>
        </w:rPr>
        <w:t>2</w:t>
      </w:r>
      <w:r w:rsidRPr="008453D3">
        <w:rPr>
          <w:rFonts w:ascii="Times New Roman" w:cs="Times New Roman"/>
          <w:spacing w:val="-22"/>
          <w:sz w:val="20"/>
          <w:szCs w:val="18"/>
        </w:rPr>
        <w:t>學期</w:t>
      </w:r>
      <w:r w:rsidRPr="008453D3">
        <w:rPr>
          <w:rFonts w:ascii="Times New Roman" w:cs="Times New Roman"/>
          <w:color w:val="FF0000"/>
          <w:spacing w:val="-22"/>
          <w:sz w:val="20"/>
          <w:szCs w:val="18"/>
        </w:rPr>
        <w:t>第</w:t>
      </w:r>
      <w:r>
        <w:rPr>
          <w:rFonts w:ascii="Times New Roman" w:cs="Times New Roman"/>
          <w:color w:val="FF0000"/>
          <w:spacing w:val="-22"/>
          <w:sz w:val="20"/>
          <w:szCs w:val="18"/>
        </w:rPr>
        <w:t>6</w:t>
      </w:r>
      <w:r w:rsidRPr="008453D3">
        <w:rPr>
          <w:rFonts w:ascii="Times New Roman" w:cs="Times New Roman"/>
          <w:color w:val="FF0000"/>
          <w:spacing w:val="-8"/>
          <w:sz w:val="20"/>
          <w:szCs w:val="18"/>
        </w:rPr>
        <w:t>次</w:t>
      </w:r>
      <w:r w:rsidRPr="008453D3">
        <w:rPr>
          <w:rFonts w:ascii="Times New Roman" w:cs="Times New Roman"/>
          <w:spacing w:val="-8"/>
          <w:sz w:val="20"/>
          <w:szCs w:val="18"/>
        </w:rPr>
        <w:t>行政會議通過</w:t>
      </w:r>
    </w:p>
    <w:p w14:paraId="7235A1D0" w14:textId="5FC88936" w:rsidR="00A534AD" w:rsidRPr="00E93C61" w:rsidRDefault="00A534AD" w:rsidP="00E93C61">
      <w:pPr>
        <w:pStyle w:val="a3"/>
        <w:kinsoku w:val="0"/>
        <w:overflowPunct w:val="0"/>
        <w:spacing w:beforeLines="50" w:before="120" w:afterLines="50" w:after="120" w:line="360" w:lineRule="exact"/>
        <w:ind w:left="851" w:right="45" w:hanging="851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第一條</w:t>
      </w:r>
      <w:r w:rsidRPr="00E93C61">
        <w:rPr>
          <w:rFonts w:ascii="Times New Roman" w:cs="Times New Roman"/>
        </w:rPr>
        <w:t xml:space="preserve"> </w:t>
      </w:r>
      <w:r w:rsidRPr="00E93C61">
        <w:rPr>
          <w:rFonts w:ascii="Times New Roman" w:cs="Times New Roman"/>
        </w:rPr>
        <w:t>國立</w:t>
      </w:r>
      <w:r w:rsidR="002D1061" w:rsidRPr="00E93C61">
        <w:rPr>
          <w:rFonts w:ascii="Times New Roman" w:cs="Times New Roman"/>
        </w:rPr>
        <w:t>澎湖科技</w:t>
      </w:r>
      <w:r w:rsidRPr="00E93C61">
        <w:rPr>
          <w:rFonts w:ascii="Times New Roman" w:cs="Times New Roman"/>
        </w:rPr>
        <w:t>大學（以下簡稱本校）為永續推動大學社會責任</w:t>
      </w:r>
      <w:r w:rsidRPr="00E93C61">
        <w:rPr>
          <w:rFonts w:ascii="Times New Roman" w:cs="Times New Roman"/>
        </w:rPr>
        <w:t>(University Social Responsibility, USR)</w:t>
      </w:r>
      <w:r w:rsidR="00120B6B" w:rsidRPr="00E93C61">
        <w:rPr>
          <w:rFonts w:ascii="Times New Roman" w:cs="Times New Roman"/>
        </w:rPr>
        <w:t>，表揚無私奉獻、</w:t>
      </w:r>
      <w:r w:rsidRPr="00E93C61">
        <w:rPr>
          <w:rFonts w:ascii="Times New Roman" w:cs="Times New Roman"/>
        </w:rPr>
        <w:t>積極投入大學社會責任實踐之</w:t>
      </w:r>
      <w:r w:rsidR="00501EEA">
        <w:rPr>
          <w:rFonts w:ascii="Times New Roman" w:cs="Times New Roman"/>
        </w:rPr>
        <w:t>教師</w:t>
      </w:r>
      <w:r w:rsidRPr="00E93C61">
        <w:rPr>
          <w:rFonts w:ascii="Times New Roman" w:cs="Times New Roman"/>
        </w:rPr>
        <w:t>，特訂定</w:t>
      </w:r>
      <w:r w:rsidR="00AE06B2" w:rsidRPr="00E93C61">
        <w:rPr>
          <w:rFonts w:ascii="Times New Roman" w:cs="Times New Roman"/>
        </w:rPr>
        <w:t>「國立澎湖科技大學推動</w:t>
      </w:r>
      <w:r w:rsidR="00501EEA">
        <w:rPr>
          <w:rFonts w:ascii="Times New Roman" w:cs="Times New Roman"/>
        </w:rPr>
        <w:t>大學</w:t>
      </w:r>
      <w:r w:rsidR="00AE06B2" w:rsidRPr="00E93C61">
        <w:rPr>
          <w:rFonts w:ascii="Times New Roman" w:cs="Times New Roman"/>
        </w:rPr>
        <w:t>社會責任優良</w:t>
      </w:r>
      <w:r w:rsidR="00902652">
        <w:rPr>
          <w:rFonts w:ascii="Times New Roman" w:cs="Times New Roman"/>
        </w:rPr>
        <w:t>教師</w:t>
      </w:r>
      <w:r w:rsidR="00AE06B2" w:rsidRPr="00E93C61">
        <w:rPr>
          <w:rFonts w:ascii="Times New Roman" w:cs="Times New Roman"/>
        </w:rPr>
        <w:t>獎勵辦法」</w:t>
      </w:r>
      <w:r w:rsidR="001112D5" w:rsidRPr="00E93C61">
        <w:rPr>
          <w:rFonts w:ascii="Times New Roman" w:cs="Times New Roman"/>
        </w:rPr>
        <w:t>(</w:t>
      </w:r>
      <w:r w:rsidR="001112D5" w:rsidRPr="00E93C61">
        <w:rPr>
          <w:rFonts w:ascii="Times New Roman" w:cs="Times New Roman"/>
        </w:rPr>
        <w:t>以下</w:t>
      </w:r>
      <w:r w:rsidR="00AE06B2" w:rsidRPr="00E93C61">
        <w:rPr>
          <w:rFonts w:ascii="Times New Roman" w:cs="Times New Roman"/>
        </w:rPr>
        <w:t>簡稱</w:t>
      </w:r>
      <w:r w:rsidRPr="00E93C61">
        <w:rPr>
          <w:rFonts w:ascii="Times New Roman" w:cs="Times New Roman"/>
        </w:rPr>
        <w:t>本辦法</w:t>
      </w:r>
      <w:r w:rsidR="001112D5" w:rsidRPr="00E93C61">
        <w:rPr>
          <w:rFonts w:ascii="Times New Roman" w:cs="Times New Roman"/>
        </w:rPr>
        <w:t>)</w:t>
      </w:r>
      <w:r w:rsidRPr="00E93C61">
        <w:rPr>
          <w:rFonts w:ascii="Times New Roman" w:cs="Times New Roman"/>
        </w:rPr>
        <w:t>。</w:t>
      </w:r>
    </w:p>
    <w:p w14:paraId="22415847" w14:textId="2D04555D" w:rsidR="00DC20AC" w:rsidRPr="00E93C61" w:rsidRDefault="00A534AD" w:rsidP="00E93C61">
      <w:pPr>
        <w:pStyle w:val="a3"/>
        <w:kinsoku w:val="0"/>
        <w:overflowPunct w:val="0"/>
        <w:spacing w:beforeLines="50" w:before="120" w:afterLines="50" w:after="120" w:line="360" w:lineRule="exact"/>
        <w:ind w:left="907" w:right="45" w:hanging="907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第二條</w:t>
      </w:r>
      <w:r w:rsidRPr="00E93C61">
        <w:rPr>
          <w:rFonts w:ascii="Times New Roman" w:cs="Times New Roman"/>
        </w:rPr>
        <w:t xml:space="preserve"> </w:t>
      </w:r>
      <w:r w:rsidRPr="00E93C61">
        <w:rPr>
          <w:rFonts w:ascii="Times New Roman" w:cs="Times New Roman"/>
        </w:rPr>
        <w:t>本辦法獎勵對象為</w:t>
      </w:r>
      <w:r w:rsidR="00701FDB" w:rsidRPr="00E93C61">
        <w:rPr>
          <w:rFonts w:ascii="Times New Roman" w:cs="Times New Roman"/>
        </w:rPr>
        <w:t>本校</w:t>
      </w:r>
      <w:r w:rsidR="000A2FA8">
        <w:rPr>
          <w:rFonts w:ascii="Times New Roman" w:cs="Times New Roman" w:hint="eastAsia"/>
        </w:rPr>
        <w:t>專任</w:t>
      </w:r>
      <w:r w:rsidR="004F5953">
        <w:rPr>
          <w:rFonts w:ascii="Times New Roman" w:cs="Times New Roman" w:hint="eastAsia"/>
        </w:rPr>
        <w:t>或專案</w:t>
      </w:r>
      <w:r w:rsidRPr="00E93C61">
        <w:rPr>
          <w:rFonts w:ascii="Times New Roman" w:cs="Times New Roman"/>
        </w:rPr>
        <w:t>教</w:t>
      </w:r>
      <w:r w:rsidR="002D1061" w:rsidRPr="00E93C61">
        <w:rPr>
          <w:rFonts w:ascii="Times New Roman" w:cs="Times New Roman"/>
        </w:rPr>
        <w:t>師</w:t>
      </w:r>
      <w:r w:rsidR="004F5953">
        <w:rPr>
          <w:rFonts w:ascii="Times New Roman" w:cs="Times New Roman"/>
        </w:rPr>
        <w:t>，並有下列條件者：</w:t>
      </w:r>
    </w:p>
    <w:p w14:paraId="3873F248" w14:textId="0CF5A90E" w:rsidR="00A534AD" w:rsidRPr="00E93C61" w:rsidRDefault="00FF3249" w:rsidP="007247BB">
      <w:pPr>
        <w:pStyle w:val="a3"/>
        <w:numPr>
          <w:ilvl w:val="0"/>
          <w:numId w:val="9"/>
        </w:numPr>
        <w:kinsoku w:val="0"/>
        <w:overflowPunct w:val="0"/>
        <w:spacing w:afterLines="50" w:after="120" w:line="360" w:lineRule="exact"/>
        <w:ind w:left="1701" w:right="45" w:hanging="34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前三年</w:t>
      </w:r>
      <w:r w:rsidR="00A534AD" w:rsidRPr="00E93C61">
        <w:rPr>
          <w:rFonts w:ascii="Times New Roman" w:cs="Times New Roman"/>
        </w:rPr>
        <w:t>參與本校</w:t>
      </w:r>
      <w:r w:rsidR="004F5953" w:rsidRPr="00E93C61">
        <w:rPr>
          <w:rFonts w:ascii="Times New Roman" w:cs="Times New Roman"/>
        </w:rPr>
        <w:t>教育部</w:t>
      </w:r>
      <w:r w:rsidR="004F5953">
        <w:rPr>
          <w:rFonts w:ascii="Times New Roman" w:cs="Times New Roman"/>
        </w:rPr>
        <w:t>高教深耕善盡社會責任</w:t>
      </w:r>
      <w:r w:rsidR="004F5953">
        <w:rPr>
          <w:rFonts w:ascii="Times New Roman" w:cs="Times New Roman" w:hint="eastAsia"/>
        </w:rPr>
        <w:t>或</w:t>
      </w:r>
      <w:r w:rsidR="004F5953" w:rsidRPr="00E93C61">
        <w:rPr>
          <w:rFonts w:ascii="Times New Roman" w:cs="Times New Roman"/>
        </w:rPr>
        <w:t>大學社會責任實踐計畫</w:t>
      </w:r>
      <w:r w:rsidR="00A534AD" w:rsidRPr="00E93C61">
        <w:rPr>
          <w:rFonts w:ascii="Times New Roman" w:cs="Times New Roman"/>
        </w:rPr>
        <w:t>之推動與執行，</w:t>
      </w:r>
      <w:r w:rsidR="004F5953">
        <w:rPr>
          <w:rFonts w:ascii="Times New Roman" w:cs="Times New Roman"/>
        </w:rPr>
        <w:t>具</w:t>
      </w:r>
      <w:r w:rsidR="00A534AD" w:rsidRPr="00E93C61">
        <w:rPr>
          <w:rFonts w:ascii="Times New Roman" w:cs="Times New Roman"/>
        </w:rPr>
        <w:t>有具體貢獻</w:t>
      </w:r>
      <w:r w:rsidR="004F5953">
        <w:rPr>
          <w:rFonts w:ascii="Times New Roman" w:cs="Times New Roman"/>
        </w:rPr>
        <w:t>或優良事蹟</w:t>
      </w:r>
      <w:r w:rsidR="00A534AD" w:rsidRPr="00E93C61">
        <w:rPr>
          <w:rFonts w:ascii="Times New Roman" w:cs="Times New Roman"/>
        </w:rPr>
        <w:t>者。</w:t>
      </w:r>
    </w:p>
    <w:p w14:paraId="0F5689A6" w14:textId="766DFEE0" w:rsidR="00A534AD" w:rsidRDefault="001A2238" w:rsidP="007247BB">
      <w:pPr>
        <w:pStyle w:val="a3"/>
        <w:numPr>
          <w:ilvl w:val="0"/>
          <w:numId w:val="9"/>
        </w:numPr>
        <w:kinsoku w:val="0"/>
        <w:overflowPunct w:val="0"/>
        <w:spacing w:afterLines="50" w:after="120" w:line="360" w:lineRule="exact"/>
        <w:ind w:left="1701" w:right="45" w:hanging="34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協助實踐場域解決區域問題、活絡人文、翻轉教育、創新產業、促進永續發展、並</w:t>
      </w:r>
      <w:r w:rsidR="00A534AD" w:rsidRPr="00E93C61">
        <w:rPr>
          <w:rFonts w:ascii="Times New Roman" w:cs="Times New Roman"/>
        </w:rPr>
        <w:t>提升在地價值，具有傑出表現者。</w:t>
      </w:r>
    </w:p>
    <w:p w14:paraId="117A576A" w14:textId="40554270" w:rsidR="007247BB" w:rsidRPr="00E93C61" w:rsidRDefault="007247BB" w:rsidP="007247BB">
      <w:pPr>
        <w:pStyle w:val="a3"/>
        <w:kinsoku w:val="0"/>
        <w:overflowPunct w:val="0"/>
        <w:spacing w:afterLines="50" w:after="120" w:line="360" w:lineRule="exact"/>
        <w:ind w:leftChars="354" w:left="850" w:right="45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本校</w:t>
      </w:r>
      <w:r w:rsidRPr="00E93C61">
        <w:rPr>
          <w:rFonts w:ascii="Times New Roman" w:cs="Times New Roman"/>
        </w:rPr>
        <w:t>各</w:t>
      </w:r>
      <w:r>
        <w:rPr>
          <w:rFonts w:ascii="Times New Roman" w:cs="Times New Roman"/>
        </w:rPr>
        <w:t>學術或行政</w:t>
      </w:r>
      <w:r w:rsidRPr="00E93C61">
        <w:rPr>
          <w:rFonts w:ascii="Times New Roman" w:cs="Times New Roman"/>
        </w:rPr>
        <w:t>單位</w:t>
      </w:r>
      <w:r>
        <w:rPr>
          <w:rFonts w:ascii="Times New Roman" w:cs="Times New Roman"/>
        </w:rPr>
        <w:t>得依據前項之規定</w:t>
      </w:r>
      <w:r w:rsidRPr="00E93C61">
        <w:rPr>
          <w:rFonts w:ascii="Times New Roman" w:cs="Times New Roman"/>
        </w:rPr>
        <w:t>推薦</w:t>
      </w:r>
      <w:r>
        <w:rPr>
          <w:rFonts w:ascii="Times New Roman" w:cs="Times New Roman"/>
        </w:rPr>
        <w:t>優秀</w:t>
      </w:r>
      <w:r w:rsidRPr="00E93C61">
        <w:rPr>
          <w:rFonts w:ascii="Times New Roman" w:cs="Times New Roman"/>
        </w:rPr>
        <w:t>人選，填寫「推動大學社會責任優良事蹟表」併同相關資料及證明文件於每年</w:t>
      </w:r>
      <w:r>
        <w:rPr>
          <w:rFonts w:ascii="Times New Roman" w:cs="Times New Roman" w:hint="eastAsia"/>
        </w:rPr>
        <w:t>3</w:t>
      </w:r>
      <w:r w:rsidRPr="00E93C61">
        <w:rPr>
          <w:rFonts w:ascii="Times New Roman" w:cs="Times New Roman"/>
        </w:rPr>
        <w:t>月</w:t>
      </w:r>
      <w:r w:rsidR="00FF3249">
        <w:rPr>
          <w:rFonts w:ascii="Times New Roman" w:cs="Times New Roman"/>
        </w:rPr>
        <w:t>31</w:t>
      </w:r>
      <w:r w:rsidR="002E2567">
        <w:rPr>
          <w:rFonts w:ascii="Times New Roman" w:cs="Times New Roman"/>
        </w:rPr>
        <w:t>日前送交</w:t>
      </w:r>
      <w:r w:rsidRPr="00E93C61">
        <w:rPr>
          <w:rFonts w:ascii="Times New Roman" w:cs="Times New Roman"/>
        </w:rPr>
        <w:t>研發處彙整</w:t>
      </w:r>
      <w:r>
        <w:rPr>
          <w:rFonts w:ascii="Times New Roman" w:cs="Times New Roman"/>
        </w:rPr>
        <w:t>辦理後續</w:t>
      </w:r>
      <w:r w:rsidR="00FE68DD">
        <w:rPr>
          <w:rFonts w:ascii="Times New Roman" w:cs="Times New Roman"/>
        </w:rPr>
        <w:t>遴選</w:t>
      </w:r>
      <w:r>
        <w:rPr>
          <w:rFonts w:ascii="Times New Roman" w:cs="Times New Roman"/>
        </w:rPr>
        <w:t>事宜</w:t>
      </w:r>
      <w:r w:rsidRPr="00E93C61">
        <w:rPr>
          <w:rFonts w:ascii="Times New Roman" w:cs="Times New Roman"/>
        </w:rPr>
        <w:t>。</w:t>
      </w:r>
    </w:p>
    <w:p w14:paraId="020C3AFA" w14:textId="54BF5E75" w:rsidR="007247BB" w:rsidRPr="00E93C61" w:rsidRDefault="007247BB" w:rsidP="007247BB">
      <w:pPr>
        <w:pStyle w:val="a3"/>
        <w:kinsoku w:val="0"/>
        <w:overflowPunct w:val="0"/>
        <w:spacing w:beforeLines="50" w:before="120" w:afterLines="50" w:after="120" w:line="360" w:lineRule="exact"/>
        <w:ind w:left="826" w:right="45" w:hanging="826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第</w:t>
      </w:r>
      <w:r>
        <w:rPr>
          <w:rFonts w:ascii="Times New Roman" w:cs="Times New Roman" w:hint="eastAsia"/>
        </w:rPr>
        <w:t>三</w:t>
      </w:r>
      <w:r w:rsidRPr="00E93C61">
        <w:rPr>
          <w:rFonts w:ascii="Times New Roman" w:cs="Times New Roman"/>
        </w:rPr>
        <w:t>條</w:t>
      </w:r>
      <w:r w:rsidRPr="00E93C61">
        <w:rPr>
          <w:rFonts w:ascii="Times New Roman" w:cs="Times New Roman"/>
        </w:rPr>
        <w:t xml:space="preserve"> </w:t>
      </w:r>
      <w:r w:rsidRPr="00E93C61">
        <w:rPr>
          <w:rFonts w:ascii="Times New Roman" w:cs="Times New Roman"/>
        </w:rPr>
        <w:t>本校設「</w:t>
      </w:r>
      <w:r>
        <w:rPr>
          <w:rFonts w:ascii="Times New Roman" w:cs="Times New Roman"/>
        </w:rPr>
        <w:t>推動</w:t>
      </w:r>
      <w:r w:rsidRPr="00E93C61">
        <w:rPr>
          <w:rFonts w:ascii="Times New Roman" w:cs="Times New Roman"/>
        </w:rPr>
        <w:t>大學社會</w:t>
      </w:r>
      <w:r>
        <w:rPr>
          <w:rFonts w:ascii="Times New Roman" w:cs="Times New Roman"/>
        </w:rPr>
        <w:t>責任</w:t>
      </w:r>
      <w:r w:rsidRPr="00E93C61">
        <w:rPr>
          <w:rFonts w:ascii="Times New Roman" w:cs="Times New Roman"/>
        </w:rPr>
        <w:t>優良</w:t>
      </w:r>
      <w:r w:rsidR="00902652">
        <w:rPr>
          <w:rFonts w:ascii="Times New Roman" w:cs="Times New Roman" w:hint="eastAsia"/>
        </w:rPr>
        <w:t>教師</w:t>
      </w:r>
      <w:r w:rsidR="00FE68DD">
        <w:rPr>
          <w:rFonts w:ascii="Times New Roman" w:cs="Times New Roman"/>
        </w:rPr>
        <w:t>遴選</w:t>
      </w:r>
      <w:r w:rsidRPr="00E93C61">
        <w:rPr>
          <w:rFonts w:ascii="Times New Roman" w:cs="Times New Roman"/>
        </w:rPr>
        <w:t>委員會」</w:t>
      </w:r>
      <w:r>
        <w:rPr>
          <w:rFonts w:ascii="Times New Roman" w:cs="Times New Roman"/>
        </w:rPr>
        <w:t>（以下簡稱本委員會）</w:t>
      </w:r>
      <w:r w:rsidRPr="00E93C61">
        <w:rPr>
          <w:rFonts w:ascii="Times New Roman" w:cs="Times New Roman"/>
        </w:rPr>
        <w:t>置委員七至九人，</w:t>
      </w:r>
      <w:r>
        <w:rPr>
          <w:rFonts w:ascii="Times New Roman" w:cs="Times New Roman"/>
        </w:rPr>
        <w:t>校長</w:t>
      </w:r>
      <w:r w:rsidRPr="00E93C61">
        <w:rPr>
          <w:rFonts w:ascii="Times New Roman" w:cs="Times New Roman"/>
        </w:rPr>
        <w:t>及研發長為當然委員</w:t>
      </w:r>
      <w:r w:rsidR="00FF3249">
        <w:rPr>
          <w:rFonts w:ascii="Times New Roman" w:cs="Times New Roman"/>
        </w:rPr>
        <w:t>，</w:t>
      </w:r>
      <w:r>
        <w:rPr>
          <w:rFonts w:ascii="Times New Roman" w:cs="Times New Roman"/>
        </w:rPr>
        <w:t>校長並擔任</w:t>
      </w:r>
      <w:r w:rsidRPr="00E93C61">
        <w:rPr>
          <w:rFonts w:ascii="Times New Roman" w:cs="Times New Roman"/>
        </w:rPr>
        <w:t>召集人，</w:t>
      </w:r>
      <w:r>
        <w:rPr>
          <w:rFonts w:ascii="Times New Roman" w:cs="Times New Roman"/>
        </w:rPr>
        <w:t>其餘委員由校長就本校推動大學社會責任諮詢委員或其他適當人選</w:t>
      </w:r>
      <w:r w:rsidRPr="00E93C61">
        <w:rPr>
          <w:rFonts w:ascii="Times New Roman" w:cs="Times New Roman"/>
        </w:rPr>
        <w:t>聘任</w:t>
      </w:r>
      <w:r>
        <w:rPr>
          <w:rFonts w:ascii="Times New Roman" w:cs="Times New Roman"/>
        </w:rPr>
        <w:t>之</w:t>
      </w:r>
      <w:r>
        <w:rPr>
          <w:rFonts w:ascii="Times New Roman" w:cs="Times New Roman" w:hint="eastAsia"/>
        </w:rPr>
        <w:t>，聘期二年</w:t>
      </w:r>
      <w:r w:rsidRPr="00E93C61">
        <w:rPr>
          <w:rFonts w:ascii="Times New Roman" w:cs="Times New Roman"/>
        </w:rPr>
        <w:t>。</w:t>
      </w:r>
    </w:p>
    <w:p w14:paraId="1E3A4AF7" w14:textId="7DE2E4BD" w:rsidR="00FE68DD" w:rsidRPr="00E93C61" w:rsidRDefault="00FE68DD" w:rsidP="00FE68DD">
      <w:pPr>
        <w:pStyle w:val="a3"/>
        <w:kinsoku w:val="0"/>
        <w:overflowPunct w:val="0"/>
        <w:spacing w:afterLines="50" w:after="120" w:line="360" w:lineRule="exact"/>
        <w:ind w:leftChars="354" w:left="850" w:right="45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本委員會負責審查</w:t>
      </w:r>
      <w:r w:rsidR="00C74311">
        <w:rPr>
          <w:rFonts w:ascii="Times New Roman" w:cs="Times New Roman"/>
        </w:rPr>
        <w:t>被推薦人選</w:t>
      </w:r>
      <w:r>
        <w:rPr>
          <w:rFonts w:ascii="Times New Roman" w:cs="Times New Roman"/>
        </w:rPr>
        <w:t>，經委員會</w:t>
      </w:r>
      <w:r w:rsidR="00C74311">
        <w:rPr>
          <w:rFonts w:ascii="Times New Roman" w:cs="Times New Roman"/>
        </w:rPr>
        <w:t>二分之一以上</w:t>
      </w:r>
      <w:r>
        <w:rPr>
          <w:rFonts w:ascii="Times New Roman" w:cs="Times New Roman"/>
        </w:rPr>
        <w:t>出席</w:t>
      </w:r>
      <w:r w:rsidR="00C74311">
        <w:rPr>
          <w:rFonts w:ascii="Times New Roman" w:cs="Times New Roman"/>
        </w:rPr>
        <w:t>、出席二分之一以上決議，遴選出該學年度優良人選，呈請校長核定</w:t>
      </w:r>
      <w:r w:rsidRPr="00E93C61">
        <w:rPr>
          <w:rFonts w:ascii="Times New Roman" w:cs="Times New Roman"/>
        </w:rPr>
        <w:t>。</w:t>
      </w:r>
    </w:p>
    <w:p w14:paraId="60ABBA0E" w14:textId="6E853BB5" w:rsidR="00BE726F" w:rsidRDefault="00BE726F" w:rsidP="00BE726F">
      <w:pPr>
        <w:pStyle w:val="a3"/>
        <w:kinsoku w:val="0"/>
        <w:overflowPunct w:val="0"/>
        <w:spacing w:beforeLines="50" w:before="120" w:afterLines="50" w:after="120" w:line="360" w:lineRule="exact"/>
        <w:ind w:left="851" w:right="45" w:hanging="851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第四條</w:t>
      </w:r>
      <w:r w:rsidRPr="00E93C61">
        <w:rPr>
          <w:rFonts w:ascii="Times New Roman" w:cs="Times New Roman"/>
        </w:rPr>
        <w:t xml:space="preserve"> </w:t>
      </w:r>
      <w:r w:rsidRPr="00E93C61">
        <w:rPr>
          <w:rFonts w:ascii="Times New Roman" w:cs="Times New Roman"/>
        </w:rPr>
        <w:t>本獎勵之遴選，每學年辦理一次，獎勵教師至多三名</w:t>
      </w:r>
      <w:r>
        <w:rPr>
          <w:rFonts w:ascii="Times New Roman" w:cs="Times New Roman"/>
        </w:rPr>
        <w:t>，獲獎教師次年起三年內不得重複申請。</w:t>
      </w:r>
    </w:p>
    <w:p w14:paraId="4AA14F16" w14:textId="617514E4" w:rsidR="00A534AD" w:rsidRPr="00E93C61" w:rsidRDefault="00A534AD" w:rsidP="00BE726F">
      <w:pPr>
        <w:pStyle w:val="a3"/>
        <w:kinsoku w:val="0"/>
        <w:overflowPunct w:val="0"/>
        <w:spacing w:afterLines="50" w:after="120" w:line="360" w:lineRule="exact"/>
        <w:ind w:leftChars="354" w:left="850" w:right="45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獲獎</w:t>
      </w:r>
      <w:r w:rsidR="00BE726F">
        <w:rPr>
          <w:rFonts w:ascii="Times New Roman" w:cs="Times New Roman"/>
        </w:rPr>
        <w:t>教師</w:t>
      </w:r>
      <w:r w:rsidRPr="00E93C61">
        <w:rPr>
          <w:rFonts w:ascii="Times New Roman" w:cs="Times New Roman"/>
        </w:rPr>
        <w:t>頒贈獎</w:t>
      </w:r>
      <w:r w:rsidR="00C74311">
        <w:rPr>
          <w:rFonts w:ascii="Times New Roman" w:cs="Times New Roman"/>
        </w:rPr>
        <w:t>狀</w:t>
      </w:r>
      <w:r w:rsidR="00F00A8D" w:rsidRPr="00E93C61">
        <w:rPr>
          <w:rFonts w:ascii="Times New Roman" w:cs="Times New Roman"/>
        </w:rPr>
        <w:t>乙</w:t>
      </w:r>
      <w:r w:rsidR="00C74311">
        <w:rPr>
          <w:rFonts w:ascii="Times New Roman" w:cs="Times New Roman"/>
        </w:rPr>
        <w:t>紙</w:t>
      </w:r>
      <w:r w:rsidR="002B12E2" w:rsidRPr="00E93C61">
        <w:rPr>
          <w:rFonts w:ascii="Times New Roman" w:cs="Times New Roman"/>
        </w:rPr>
        <w:t>及獎勵金</w:t>
      </w:r>
      <w:r w:rsidR="00501EEA">
        <w:rPr>
          <w:rFonts w:ascii="Times New Roman" w:cs="Times New Roman"/>
        </w:rPr>
        <w:t>一</w:t>
      </w:r>
      <w:r w:rsidR="00615069">
        <w:rPr>
          <w:rFonts w:ascii="Times New Roman" w:cs="Times New Roman" w:hint="eastAsia"/>
        </w:rPr>
        <w:t>萬元</w:t>
      </w:r>
      <w:r w:rsidRPr="00E93C61">
        <w:rPr>
          <w:rFonts w:ascii="Times New Roman" w:cs="Times New Roman"/>
        </w:rPr>
        <w:t>，並於公開場合表揚之。</w:t>
      </w:r>
    </w:p>
    <w:p w14:paraId="576E730C" w14:textId="5125C57A" w:rsidR="00191D8E" w:rsidRPr="00E93C61" w:rsidRDefault="00096A7E" w:rsidP="00E93C61">
      <w:pPr>
        <w:pStyle w:val="a3"/>
        <w:kinsoku w:val="0"/>
        <w:overflowPunct w:val="0"/>
        <w:spacing w:beforeLines="50" w:before="120" w:afterLines="50" w:after="120" w:line="360" w:lineRule="exact"/>
        <w:ind w:left="851" w:right="45" w:hanging="851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第</w:t>
      </w:r>
      <w:r w:rsidR="00E56778">
        <w:rPr>
          <w:rFonts w:ascii="Times New Roman" w:cs="Times New Roman"/>
        </w:rPr>
        <w:t>五</w:t>
      </w:r>
      <w:r w:rsidRPr="00E93C61">
        <w:rPr>
          <w:rFonts w:ascii="Times New Roman" w:cs="Times New Roman"/>
        </w:rPr>
        <w:t>條</w:t>
      </w:r>
      <w:r w:rsidRPr="00E93C61">
        <w:rPr>
          <w:rFonts w:ascii="Times New Roman" w:cs="Times New Roman"/>
        </w:rPr>
        <w:t xml:space="preserve"> </w:t>
      </w:r>
      <w:r w:rsidRPr="00E93C61">
        <w:rPr>
          <w:rFonts w:ascii="Times New Roman" w:cs="Times New Roman"/>
        </w:rPr>
        <w:t>本辦法之經費來源</w:t>
      </w:r>
      <w:r w:rsidR="00EF73BB">
        <w:rPr>
          <w:rFonts w:ascii="Times New Roman" w:cs="Times New Roman"/>
        </w:rPr>
        <w:t>提撥自</w:t>
      </w:r>
      <w:r w:rsidRPr="00E93C61">
        <w:rPr>
          <w:rFonts w:ascii="Times New Roman" w:cs="Times New Roman"/>
        </w:rPr>
        <w:t>教育部「高等教育深耕計畫」</w:t>
      </w:r>
      <w:r w:rsidR="004453C5" w:rsidRPr="004453C5">
        <w:rPr>
          <w:rFonts w:ascii="Times New Roman" w:cs="Times New Roman" w:hint="eastAsia"/>
          <w:color w:val="FF0000"/>
        </w:rPr>
        <w:t>相</w:t>
      </w:r>
      <w:r w:rsidR="00EF73BB" w:rsidRPr="004453C5">
        <w:rPr>
          <w:rFonts w:ascii="Times New Roman" w:cs="Times New Roman"/>
          <w:color w:val="FF0000"/>
        </w:rPr>
        <w:t>關經費</w:t>
      </w:r>
      <w:r w:rsidR="00191D8E" w:rsidRPr="00E93C61">
        <w:rPr>
          <w:rFonts w:ascii="Times New Roman" w:cs="Times New Roman"/>
        </w:rPr>
        <w:t>，並</w:t>
      </w:r>
      <w:r w:rsidR="00EF73BB">
        <w:rPr>
          <w:rFonts w:ascii="Times New Roman" w:cs="Times New Roman"/>
        </w:rPr>
        <w:t>得依據</w:t>
      </w:r>
      <w:r w:rsidR="00191D8E" w:rsidRPr="00E93C61">
        <w:rPr>
          <w:rFonts w:ascii="Times New Roman" w:cs="Times New Roman"/>
        </w:rPr>
        <w:t>教育部經費補助金額，調整獎勵金額度及獎勵人數。</w:t>
      </w:r>
    </w:p>
    <w:p w14:paraId="16B3F34E" w14:textId="083EE560" w:rsidR="00886197" w:rsidRPr="00E93C61" w:rsidRDefault="00A534AD" w:rsidP="00E93C61">
      <w:pPr>
        <w:pStyle w:val="a3"/>
        <w:kinsoku w:val="0"/>
        <w:overflowPunct w:val="0"/>
        <w:spacing w:beforeLines="50" w:before="120" w:afterLines="50" w:after="120" w:line="360" w:lineRule="exact"/>
        <w:ind w:left="851" w:hanging="851"/>
        <w:jc w:val="both"/>
        <w:rPr>
          <w:rFonts w:ascii="Times New Roman" w:cs="Times New Roman"/>
        </w:rPr>
      </w:pPr>
      <w:r w:rsidRPr="00E93C61">
        <w:rPr>
          <w:rFonts w:ascii="Times New Roman" w:cs="Times New Roman"/>
        </w:rPr>
        <w:t>第</w:t>
      </w:r>
      <w:r w:rsidR="00E56778">
        <w:rPr>
          <w:rFonts w:ascii="Times New Roman" w:cs="Times New Roman"/>
        </w:rPr>
        <w:t>六</w:t>
      </w:r>
      <w:r w:rsidRPr="00E93C61">
        <w:rPr>
          <w:rFonts w:ascii="Times New Roman" w:cs="Times New Roman"/>
        </w:rPr>
        <w:t>條</w:t>
      </w:r>
      <w:r w:rsidRPr="00E93C61">
        <w:rPr>
          <w:rFonts w:ascii="Times New Roman" w:cs="Times New Roman"/>
        </w:rPr>
        <w:t xml:space="preserve"> </w:t>
      </w:r>
      <w:r w:rsidRPr="00E93C61">
        <w:rPr>
          <w:rFonts w:ascii="Times New Roman" w:cs="Times New Roman"/>
        </w:rPr>
        <w:t>本辦法經</w:t>
      </w:r>
      <w:r w:rsidR="002D1061" w:rsidRPr="00E93C61">
        <w:rPr>
          <w:rFonts w:ascii="Times New Roman" w:cs="Times New Roman"/>
        </w:rPr>
        <w:t>行政會議</w:t>
      </w:r>
      <w:r w:rsidRPr="00E93C61">
        <w:rPr>
          <w:rFonts w:ascii="Times New Roman" w:cs="Times New Roman"/>
        </w:rPr>
        <w:t>通過後實施，修訂時亦同。</w:t>
      </w:r>
    </w:p>
    <w:p w14:paraId="1089AAE4" w14:textId="77777777" w:rsidR="00A534AD" w:rsidRPr="00E93C61" w:rsidRDefault="00A534AD" w:rsidP="00E93C61">
      <w:pPr>
        <w:pStyle w:val="a3"/>
        <w:kinsoku w:val="0"/>
        <w:overflowPunct w:val="0"/>
        <w:spacing w:beforeLines="100" w:before="240" w:afterLines="100" w:after="240" w:line="400" w:lineRule="exact"/>
        <w:ind w:left="958" w:right="45" w:hanging="958"/>
        <w:jc w:val="both"/>
        <w:rPr>
          <w:rFonts w:ascii="Times New Roman" w:cs="Times New Roman"/>
        </w:rPr>
        <w:sectPr w:rsidR="00A534AD" w:rsidRPr="00E93C61">
          <w:type w:val="continuous"/>
          <w:pgSz w:w="11910" w:h="16840"/>
          <w:pgMar w:top="1580" w:right="1680" w:bottom="280" w:left="1680" w:header="720" w:footer="720" w:gutter="0"/>
          <w:cols w:space="720"/>
          <w:noEndnote/>
        </w:sectPr>
      </w:pPr>
      <w:bookmarkStart w:id="1" w:name="_GoBack"/>
      <w:bookmarkEnd w:id="1"/>
    </w:p>
    <w:p w14:paraId="0C6D9F1C" w14:textId="462D091F" w:rsidR="00A534AD" w:rsidRDefault="00A534AD" w:rsidP="002D7F18">
      <w:pPr>
        <w:pStyle w:val="a3"/>
        <w:kinsoku w:val="0"/>
        <w:overflowPunct w:val="0"/>
        <w:spacing w:line="440" w:lineRule="exact"/>
        <w:jc w:val="center"/>
        <w:rPr>
          <w:b/>
          <w:bCs/>
          <w:sz w:val="36"/>
          <w:szCs w:val="36"/>
        </w:rPr>
      </w:pPr>
      <w:bookmarkStart w:id="2" w:name="bookmark0"/>
      <w:bookmarkStart w:id="3" w:name="國立中興大學社會實踐服務優良事蹟表"/>
      <w:bookmarkEnd w:id="2"/>
      <w:bookmarkEnd w:id="3"/>
      <w:r>
        <w:rPr>
          <w:rFonts w:hint="eastAsia"/>
          <w:b/>
          <w:bCs/>
          <w:sz w:val="36"/>
          <w:szCs w:val="36"/>
        </w:rPr>
        <w:lastRenderedPageBreak/>
        <w:t>國立</w:t>
      </w:r>
      <w:r w:rsidR="002D1061">
        <w:rPr>
          <w:rFonts w:hint="eastAsia"/>
          <w:b/>
          <w:bCs/>
          <w:sz w:val="36"/>
          <w:szCs w:val="36"/>
        </w:rPr>
        <w:t>澎湖科技</w:t>
      </w:r>
      <w:r>
        <w:rPr>
          <w:rFonts w:hint="eastAsia"/>
          <w:b/>
          <w:bCs/>
          <w:sz w:val="36"/>
          <w:szCs w:val="36"/>
        </w:rPr>
        <w:t>大學</w:t>
      </w:r>
      <w:r w:rsidR="00E37B2B">
        <w:rPr>
          <w:rFonts w:hint="eastAsia"/>
          <w:b/>
          <w:bCs/>
          <w:sz w:val="36"/>
          <w:szCs w:val="36"/>
        </w:rPr>
        <w:t>推動</w:t>
      </w:r>
      <w:r w:rsidR="007B07D6">
        <w:rPr>
          <w:rFonts w:hint="eastAsia"/>
          <w:b/>
          <w:bCs/>
          <w:sz w:val="36"/>
          <w:szCs w:val="36"/>
        </w:rPr>
        <w:t>大學</w:t>
      </w:r>
      <w:r>
        <w:rPr>
          <w:rFonts w:hint="eastAsia"/>
          <w:b/>
          <w:bCs/>
          <w:sz w:val="36"/>
          <w:szCs w:val="36"/>
        </w:rPr>
        <w:t>社會</w:t>
      </w:r>
      <w:r w:rsidR="00E37B2B">
        <w:rPr>
          <w:rFonts w:hint="eastAsia"/>
          <w:b/>
          <w:bCs/>
          <w:sz w:val="36"/>
          <w:szCs w:val="36"/>
        </w:rPr>
        <w:t>責任</w:t>
      </w:r>
      <w:r>
        <w:rPr>
          <w:rFonts w:hint="eastAsia"/>
          <w:b/>
          <w:bCs/>
          <w:sz w:val="36"/>
          <w:szCs w:val="36"/>
        </w:rPr>
        <w:t>優良</w:t>
      </w:r>
      <w:r w:rsidR="00902652">
        <w:rPr>
          <w:rFonts w:hint="eastAsia"/>
          <w:b/>
          <w:bCs/>
          <w:sz w:val="36"/>
          <w:szCs w:val="36"/>
        </w:rPr>
        <w:t>教師</w:t>
      </w:r>
      <w:r>
        <w:rPr>
          <w:rFonts w:hint="eastAsia"/>
          <w:b/>
          <w:bCs/>
          <w:sz w:val="36"/>
          <w:szCs w:val="36"/>
        </w:rPr>
        <w:t>事蹟表</w:t>
      </w:r>
    </w:p>
    <w:p w14:paraId="430C61DE" w14:textId="77777777" w:rsidR="00A534AD" w:rsidRDefault="00A534AD">
      <w:pPr>
        <w:pStyle w:val="a3"/>
        <w:kinsoku w:val="0"/>
        <w:overflowPunct w:val="0"/>
        <w:spacing w:before="7"/>
        <w:rPr>
          <w:sz w:val="4"/>
          <w:szCs w:val="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313"/>
        <w:gridCol w:w="1380"/>
        <w:gridCol w:w="3394"/>
      </w:tblGrid>
      <w:tr w:rsidR="00A534AD" w14:paraId="421ADC7F" w14:textId="77777777" w:rsidTr="00684352">
        <w:trPr>
          <w:trHeight w:val="70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49E1" w14:textId="77777777" w:rsidR="00A534AD" w:rsidRPr="00C74311" w:rsidRDefault="00A534AD" w:rsidP="00C74311">
            <w:pPr>
              <w:pStyle w:val="TableParagraph"/>
              <w:kinsoku w:val="0"/>
              <w:overflowPunct w:val="0"/>
              <w:spacing w:before="165"/>
              <w:ind w:left="102"/>
              <w:jc w:val="center"/>
              <w:rPr>
                <w:rFonts w:hAnsi="標楷體"/>
              </w:rPr>
            </w:pPr>
            <w:r w:rsidRPr="00C74311">
              <w:rPr>
                <w:rFonts w:hAnsi="標楷體" w:hint="eastAsia"/>
              </w:rPr>
              <w:t>被推薦人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61A78" w14:textId="77777777" w:rsidR="00A534AD" w:rsidRPr="00C74311" w:rsidRDefault="00A534AD" w:rsidP="00C74311">
            <w:pPr>
              <w:pStyle w:val="TableParagraph"/>
              <w:kinsoku w:val="0"/>
              <w:overflowPunct w:val="0"/>
              <w:jc w:val="center"/>
              <w:rPr>
                <w:rFonts w:hAnsi="標楷體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276B7" w14:textId="73A2A198" w:rsidR="00A534AD" w:rsidRPr="00C74311" w:rsidRDefault="00615069" w:rsidP="00C74311">
            <w:pPr>
              <w:pStyle w:val="TableParagraph"/>
              <w:kinsoku w:val="0"/>
              <w:overflowPunct w:val="0"/>
              <w:spacing w:before="165"/>
              <w:ind w:left="103"/>
              <w:jc w:val="center"/>
              <w:rPr>
                <w:rFonts w:hAnsi="標楷體"/>
              </w:rPr>
            </w:pPr>
            <w:r w:rsidRPr="00C74311">
              <w:rPr>
                <w:rFonts w:hAnsi="標楷體" w:hint="eastAsia"/>
              </w:rPr>
              <w:t>職稱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156C7" w14:textId="5BDDA239" w:rsidR="00A534AD" w:rsidRDefault="00A534AD" w:rsidP="00684352">
            <w:pPr>
              <w:pStyle w:val="TableParagraph"/>
              <w:kinsoku w:val="0"/>
              <w:overflowPunct w:val="0"/>
              <w:spacing w:before="1"/>
              <w:ind w:left="101"/>
              <w:jc w:val="center"/>
              <w:rPr>
                <w:rFonts w:hAnsi="Segoe UI Emoji"/>
              </w:rPr>
            </w:pPr>
          </w:p>
        </w:tc>
      </w:tr>
      <w:tr w:rsidR="00C74311" w14:paraId="6163595C" w14:textId="1E8AED2F" w:rsidTr="00684352">
        <w:trPr>
          <w:trHeight w:val="6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C390" w14:textId="04ACB2E2" w:rsidR="00C74311" w:rsidRPr="00C74311" w:rsidRDefault="00C74311" w:rsidP="00C74311">
            <w:pPr>
              <w:pStyle w:val="TableParagraph"/>
              <w:kinsoku w:val="0"/>
              <w:overflowPunct w:val="0"/>
              <w:spacing w:before="152"/>
              <w:ind w:left="102"/>
              <w:jc w:val="center"/>
              <w:rPr>
                <w:rFonts w:hAnsi="標楷體"/>
              </w:rPr>
            </w:pPr>
            <w:r w:rsidRPr="00C74311">
              <w:rPr>
                <w:rFonts w:hAnsi="標楷體" w:hint="eastAsia"/>
              </w:rPr>
              <w:t>所屬單位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03379" w14:textId="77777777" w:rsidR="00C74311" w:rsidRPr="00C74311" w:rsidRDefault="00C74311" w:rsidP="00C74311">
            <w:pPr>
              <w:pStyle w:val="TableParagraph"/>
              <w:kinsoku w:val="0"/>
              <w:overflowPunct w:val="0"/>
              <w:jc w:val="center"/>
              <w:rPr>
                <w:rFonts w:hAnsi="標楷體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20D6D" w14:textId="0B797462" w:rsidR="00C74311" w:rsidRPr="00C74311" w:rsidRDefault="00C74311" w:rsidP="00C74311">
            <w:pPr>
              <w:pStyle w:val="TableParagraph"/>
              <w:kinsoku w:val="0"/>
              <w:overflowPunct w:val="0"/>
              <w:jc w:val="center"/>
              <w:rPr>
                <w:rFonts w:hAnsi="標楷體" w:cs="Times New Roman"/>
              </w:rPr>
            </w:pPr>
            <w:r w:rsidRPr="00C74311">
              <w:rPr>
                <w:rFonts w:hAnsi="標楷體" w:cs="Times New Roman"/>
              </w:rPr>
              <w:t>推薦單位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9ED0E" w14:textId="77777777" w:rsidR="00C74311" w:rsidRDefault="00C74311" w:rsidP="00684352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A534AD" w14:paraId="684B549A" w14:textId="77777777" w:rsidTr="00684352">
        <w:trPr>
          <w:trHeight w:val="6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054D" w14:textId="77777777" w:rsidR="00A534AD" w:rsidRPr="00C74311" w:rsidRDefault="00A534AD" w:rsidP="00C74311">
            <w:pPr>
              <w:pStyle w:val="TableParagraph"/>
              <w:kinsoku w:val="0"/>
              <w:overflowPunct w:val="0"/>
              <w:spacing w:before="151"/>
              <w:ind w:left="102"/>
              <w:jc w:val="center"/>
              <w:rPr>
                <w:rFonts w:hAnsi="標楷體"/>
              </w:rPr>
            </w:pPr>
            <w:r w:rsidRPr="00C74311">
              <w:rPr>
                <w:rFonts w:hAnsi="標楷體" w:hint="eastAsia"/>
              </w:rPr>
              <w:t>聯絡電話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01D83" w14:textId="77777777" w:rsidR="00A534AD" w:rsidRPr="00C74311" w:rsidRDefault="00A534AD" w:rsidP="00C74311">
            <w:pPr>
              <w:pStyle w:val="TableParagraph"/>
              <w:kinsoku w:val="0"/>
              <w:overflowPunct w:val="0"/>
              <w:jc w:val="center"/>
              <w:rPr>
                <w:rFonts w:hAnsi="標楷體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8E975" w14:textId="77777777" w:rsidR="00A534AD" w:rsidRPr="00C74311" w:rsidRDefault="00A534AD" w:rsidP="00C74311">
            <w:pPr>
              <w:pStyle w:val="TableParagraph"/>
              <w:kinsoku w:val="0"/>
              <w:overflowPunct w:val="0"/>
              <w:spacing w:before="151"/>
              <w:ind w:left="103"/>
              <w:jc w:val="center"/>
              <w:rPr>
                <w:rFonts w:hAnsi="標楷體"/>
              </w:rPr>
            </w:pPr>
            <w:r w:rsidRPr="00C74311">
              <w:rPr>
                <w:rFonts w:hAnsi="標楷體" w:hint="eastAsia"/>
              </w:rPr>
              <w:t>聯絡信箱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0F031" w14:textId="77777777" w:rsidR="00A534AD" w:rsidRDefault="00A534AD" w:rsidP="00684352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C74311" w14:paraId="19F15199" w14:textId="672F10B0" w:rsidTr="00684352">
        <w:trPr>
          <w:trHeight w:val="570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8D41" w14:textId="5E661346" w:rsidR="00C74311" w:rsidRDefault="00C74311" w:rsidP="00C74311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hint="eastAsia"/>
              </w:rPr>
              <w:t>具體服務事蹟及影響力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A9A0" w14:textId="70751D15" w:rsidR="00C74311" w:rsidRDefault="00C74311" w:rsidP="00C7431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(各</w:t>
            </w:r>
            <w:r>
              <w:rPr>
                <w:rFonts w:hint="eastAsia"/>
                <w:sz w:val="21"/>
                <w:szCs w:val="21"/>
              </w:rPr>
              <w:t>事蹟應詳細述明具體成果，並請提供相關證明文件、照片</w:t>
            </w:r>
            <w:r>
              <w:rPr>
                <w:sz w:val="21"/>
                <w:szCs w:val="21"/>
              </w:rPr>
              <w:t>)</w:t>
            </w:r>
          </w:p>
          <w:p w14:paraId="054D6E1D" w14:textId="77777777" w:rsidR="00C74311" w:rsidRP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86071C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ECB75F7" w14:textId="77777777" w:rsidR="00C74311" w:rsidRP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E7978CB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51BEB72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B245D3E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D19CB6C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19DB50A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A37336D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2BC9A91" w14:textId="77777777" w:rsidR="00C74311" w:rsidRP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8826878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DEE9B7B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CFC05C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E135ADE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791E17F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2849FBA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4F06D34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69A1413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000C883" w14:textId="77777777" w:rsidR="00C74311" w:rsidRDefault="00C7431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919187E" w14:textId="77777777" w:rsidR="00C74311" w:rsidRDefault="00C74311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14:paraId="6F720C44" w14:textId="42CD5784" w:rsidR="00C74311" w:rsidRDefault="00C74311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  <w:p w14:paraId="7EC63BE6" w14:textId="77777777" w:rsidR="00C74311" w:rsidRDefault="00C74311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  <w:p w14:paraId="13A01159" w14:textId="77777777" w:rsidR="00C74311" w:rsidRDefault="00C74311">
            <w:pPr>
              <w:pStyle w:val="TableParagraph"/>
              <w:kinsoku w:val="0"/>
              <w:overflowPunct w:val="0"/>
              <w:ind w:left="2303"/>
              <w:rPr>
                <w:sz w:val="21"/>
                <w:szCs w:val="21"/>
              </w:rPr>
            </w:pPr>
          </w:p>
        </w:tc>
      </w:tr>
      <w:tr w:rsidR="00C74311" w14:paraId="7D2235D5" w14:textId="4033F473" w:rsidTr="00726882">
        <w:trPr>
          <w:trHeight w:val="472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C56E" w14:textId="77777777" w:rsidR="00C74311" w:rsidRDefault="00C74311" w:rsidP="00C74311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hint="eastAsia"/>
              </w:rPr>
              <w:t>推薦理由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2E4F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44FE8329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72FA9C66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134EF376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56DEB9D3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398BCA31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42D87AEA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05F036EE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6B780CB8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778CDAE3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71B633F8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75F49485" w14:textId="77777777" w:rsidR="00C74311" w:rsidRDefault="00C74311">
            <w:pPr>
              <w:pStyle w:val="TableParagraph"/>
              <w:kinsoku w:val="0"/>
              <w:overflowPunct w:val="0"/>
            </w:pPr>
          </w:p>
          <w:p w14:paraId="2435AC48" w14:textId="77777777" w:rsidR="00C74311" w:rsidRDefault="00C74311" w:rsidP="002D7F18">
            <w:pPr>
              <w:pStyle w:val="TableParagraph"/>
              <w:kinsoku w:val="0"/>
              <w:overflowPunct w:val="0"/>
              <w:spacing w:before="176"/>
              <w:ind w:left="2992"/>
            </w:pPr>
          </w:p>
        </w:tc>
      </w:tr>
      <w:tr w:rsidR="00C74311" w14:paraId="5E404F0F" w14:textId="77777777" w:rsidTr="00684352">
        <w:trPr>
          <w:trHeight w:val="84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35CB" w14:textId="6D878A4A" w:rsidR="00C74311" w:rsidRDefault="00C74311" w:rsidP="00C74311">
            <w:pPr>
              <w:pStyle w:val="TableParagraph"/>
              <w:kinsoku w:val="0"/>
              <w:overflowPunct w:val="0"/>
              <w:jc w:val="center"/>
            </w:pPr>
            <w:r>
              <w:t>推薦</w:t>
            </w:r>
            <w:r>
              <w:rPr>
                <w:rFonts w:hint="eastAsia"/>
              </w:rPr>
              <w:t>人簽章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67F1" w14:textId="0C9ED1B5" w:rsidR="00C74311" w:rsidRDefault="00C74311" w:rsidP="00C74311">
            <w:pPr>
              <w:pStyle w:val="TableParagraph"/>
              <w:kinsoku w:val="0"/>
              <w:overflowPunct w:val="0"/>
              <w:jc w:val="both"/>
            </w:pPr>
          </w:p>
        </w:tc>
      </w:tr>
    </w:tbl>
    <w:p w14:paraId="2478387F" w14:textId="77777777" w:rsidR="00A534AD" w:rsidRDefault="00A534AD"/>
    <w:sectPr w:rsidR="00A534AD">
      <w:pgSz w:w="11910" w:h="16840"/>
      <w:pgMar w:top="154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600F" w14:textId="77777777" w:rsidR="002738DD" w:rsidRDefault="002738DD" w:rsidP="001B03DA">
      <w:r>
        <w:separator/>
      </w:r>
    </w:p>
  </w:endnote>
  <w:endnote w:type="continuationSeparator" w:id="0">
    <w:p w14:paraId="21FB62C9" w14:textId="77777777" w:rsidR="002738DD" w:rsidRDefault="002738DD" w:rsidP="001B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F8C6" w14:textId="77777777" w:rsidR="002738DD" w:rsidRDefault="002738DD" w:rsidP="001B03DA">
      <w:r>
        <w:separator/>
      </w:r>
    </w:p>
  </w:footnote>
  <w:footnote w:type="continuationSeparator" w:id="0">
    <w:p w14:paraId="15B52E69" w14:textId="77777777" w:rsidR="002738DD" w:rsidRDefault="002738DD" w:rsidP="001B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320" w:hanging="36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320" w:hanging="360"/>
      </w:pPr>
      <w:rPr>
        <w:rFonts w:ascii="標楷體" w:eastAsia="標楷體" w:cs="標楷體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abstractNum w:abstractNumId="2" w15:restartNumberingAfterBreak="0">
    <w:nsid w:val="06981CDA"/>
    <w:multiLevelType w:val="multilevel"/>
    <w:tmpl w:val="F9DAD0A8"/>
    <w:lvl w:ilvl="0">
      <w:start w:val="1"/>
      <w:numFmt w:val="taiwaneseCountingThousand"/>
      <w:lvlText w:val="%1、"/>
      <w:lvlJc w:val="right"/>
      <w:pPr>
        <w:ind w:left="1320" w:hanging="36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abstractNum w:abstractNumId="3" w15:restartNumberingAfterBreak="0">
    <w:nsid w:val="1AAD0D6F"/>
    <w:multiLevelType w:val="multilevel"/>
    <w:tmpl w:val="A2368000"/>
    <w:lvl w:ilvl="0">
      <w:start w:val="1"/>
      <w:numFmt w:val="taiwaneseCountingThousand"/>
      <w:lvlText w:val="%1、"/>
      <w:lvlJc w:val="right"/>
      <w:pPr>
        <w:ind w:left="1320" w:hanging="360"/>
      </w:pPr>
      <w:rPr>
        <w:rFonts w:hint="eastAsia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abstractNum w:abstractNumId="4" w15:restartNumberingAfterBreak="0">
    <w:nsid w:val="579D6C0F"/>
    <w:multiLevelType w:val="multilevel"/>
    <w:tmpl w:val="F9DAD0A8"/>
    <w:lvl w:ilvl="0">
      <w:start w:val="1"/>
      <w:numFmt w:val="taiwaneseCountingThousand"/>
      <w:lvlText w:val="%1、"/>
      <w:lvlJc w:val="right"/>
      <w:pPr>
        <w:ind w:left="1320" w:hanging="36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abstractNum w:abstractNumId="5" w15:restartNumberingAfterBreak="0">
    <w:nsid w:val="58CA7A26"/>
    <w:multiLevelType w:val="hybridMultilevel"/>
    <w:tmpl w:val="C9E05432"/>
    <w:lvl w:ilvl="0" w:tplc="E736A548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21021"/>
    <w:multiLevelType w:val="multilevel"/>
    <w:tmpl w:val="D0E8F1FE"/>
    <w:lvl w:ilvl="0">
      <w:start w:val="1"/>
      <w:numFmt w:val="taiwaneseCountingThousand"/>
      <w:lvlText w:val="%1、"/>
      <w:lvlJc w:val="right"/>
      <w:pPr>
        <w:ind w:left="1320" w:hanging="360"/>
      </w:pPr>
      <w:rPr>
        <w:rFonts w:hint="eastAsia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abstractNum w:abstractNumId="7" w15:restartNumberingAfterBreak="0">
    <w:nsid w:val="63B44C34"/>
    <w:multiLevelType w:val="hybridMultilevel"/>
    <w:tmpl w:val="F2E6E504"/>
    <w:lvl w:ilvl="0" w:tplc="FFFFFFFF">
      <w:start w:val="1"/>
      <w:numFmt w:val="taiwaneseCountingThousand"/>
      <w:lvlText w:val="%1、"/>
      <w:lvlJc w:val="right"/>
      <w:pPr>
        <w:ind w:left="143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18" w:hanging="480"/>
      </w:pPr>
    </w:lvl>
    <w:lvl w:ilvl="2" w:tplc="FFFFFFFF" w:tentative="1">
      <w:start w:val="1"/>
      <w:numFmt w:val="lowerRoman"/>
      <w:lvlText w:val="%3."/>
      <w:lvlJc w:val="right"/>
      <w:pPr>
        <w:ind w:left="2398" w:hanging="480"/>
      </w:pPr>
    </w:lvl>
    <w:lvl w:ilvl="3" w:tplc="FFFFFFFF" w:tentative="1">
      <w:start w:val="1"/>
      <w:numFmt w:val="decimal"/>
      <w:lvlText w:val="%4."/>
      <w:lvlJc w:val="left"/>
      <w:pPr>
        <w:ind w:left="28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58" w:hanging="480"/>
      </w:pPr>
    </w:lvl>
    <w:lvl w:ilvl="5" w:tplc="FFFFFFFF" w:tentative="1">
      <w:start w:val="1"/>
      <w:numFmt w:val="lowerRoman"/>
      <w:lvlText w:val="%6."/>
      <w:lvlJc w:val="right"/>
      <w:pPr>
        <w:ind w:left="3838" w:hanging="480"/>
      </w:pPr>
    </w:lvl>
    <w:lvl w:ilvl="6" w:tplc="FFFFFFFF" w:tentative="1">
      <w:start w:val="1"/>
      <w:numFmt w:val="decimal"/>
      <w:lvlText w:val="%7."/>
      <w:lvlJc w:val="left"/>
      <w:pPr>
        <w:ind w:left="43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98" w:hanging="480"/>
      </w:pPr>
    </w:lvl>
    <w:lvl w:ilvl="8" w:tplc="FFFFFFFF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" w15:restartNumberingAfterBreak="0">
    <w:nsid w:val="66AA6771"/>
    <w:multiLevelType w:val="hybridMultilevel"/>
    <w:tmpl w:val="F2E6E504"/>
    <w:lvl w:ilvl="0" w:tplc="FFFFFFFF">
      <w:start w:val="1"/>
      <w:numFmt w:val="taiwaneseCountingThousand"/>
      <w:lvlText w:val="%1、"/>
      <w:lvlJc w:val="right"/>
      <w:pPr>
        <w:ind w:left="143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18" w:hanging="480"/>
      </w:pPr>
    </w:lvl>
    <w:lvl w:ilvl="2" w:tplc="FFFFFFFF" w:tentative="1">
      <w:start w:val="1"/>
      <w:numFmt w:val="lowerRoman"/>
      <w:lvlText w:val="%3."/>
      <w:lvlJc w:val="right"/>
      <w:pPr>
        <w:ind w:left="2398" w:hanging="480"/>
      </w:pPr>
    </w:lvl>
    <w:lvl w:ilvl="3" w:tplc="FFFFFFFF" w:tentative="1">
      <w:start w:val="1"/>
      <w:numFmt w:val="decimal"/>
      <w:lvlText w:val="%4."/>
      <w:lvlJc w:val="left"/>
      <w:pPr>
        <w:ind w:left="28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58" w:hanging="480"/>
      </w:pPr>
    </w:lvl>
    <w:lvl w:ilvl="5" w:tplc="FFFFFFFF" w:tentative="1">
      <w:start w:val="1"/>
      <w:numFmt w:val="lowerRoman"/>
      <w:lvlText w:val="%6."/>
      <w:lvlJc w:val="right"/>
      <w:pPr>
        <w:ind w:left="3838" w:hanging="480"/>
      </w:pPr>
    </w:lvl>
    <w:lvl w:ilvl="6" w:tplc="FFFFFFFF" w:tentative="1">
      <w:start w:val="1"/>
      <w:numFmt w:val="decimal"/>
      <w:lvlText w:val="%7."/>
      <w:lvlJc w:val="left"/>
      <w:pPr>
        <w:ind w:left="43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98" w:hanging="480"/>
      </w:pPr>
    </w:lvl>
    <w:lvl w:ilvl="8" w:tplc="FFFFFFFF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9" w15:restartNumberingAfterBreak="0">
    <w:nsid w:val="6A6E4EE2"/>
    <w:multiLevelType w:val="hybridMultilevel"/>
    <w:tmpl w:val="F2E6E504"/>
    <w:lvl w:ilvl="0" w:tplc="E736A548">
      <w:start w:val="1"/>
      <w:numFmt w:val="taiwaneseCountingThousand"/>
      <w:lvlText w:val="%1、"/>
      <w:lvlJc w:val="righ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0" w15:restartNumberingAfterBreak="0">
    <w:nsid w:val="7ED16463"/>
    <w:multiLevelType w:val="multilevel"/>
    <w:tmpl w:val="43741936"/>
    <w:lvl w:ilvl="0">
      <w:start w:val="1"/>
      <w:numFmt w:val="taiwaneseCountingThousand"/>
      <w:lvlText w:val="%1、"/>
      <w:lvlJc w:val="right"/>
      <w:pPr>
        <w:ind w:left="1320" w:hanging="360"/>
      </w:pPr>
      <w:rPr>
        <w:rFonts w:hint="eastAsia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abstractNum w:abstractNumId="11" w15:restartNumberingAfterBreak="0">
    <w:nsid w:val="7FC467A4"/>
    <w:multiLevelType w:val="multilevel"/>
    <w:tmpl w:val="F9DAD0A8"/>
    <w:lvl w:ilvl="0">
      <w:start w:val="1"/>
      <w:numFmt w:val="taiwaneseCountingThousand"/>
      <w:lvlText w:val="%1、"/>
      <w:lvlJc w:val="right"/>
      <w:pPr>
        <w:ind w:left="1320" w:hanging="36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2" w:hanging="360"/>
      </w:pPr>
    </w:lvl>
    <w:lvl w:ilvl="2">
      <w:numFmt w:val="bullet"/>
      <w:lvlText w:val="•"/>
      <w:lvlJc w:val="left"/>
      <w:pPr>
        <w:ind w:left="2764" w:hanging="360"/>
      </w:pPr>
    </w:lvl>
    <w:lvl w:ilvl="3">
      <w:numFmt w:val="bullet"/>
      <w:lvlText w:val="•"/>
      <w:lvlJc w:val="left"/>
      <w:pPr>
        <w:ind w:left="3487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4932" w:hanging="360"/>
      </w:pPr>
    </w:lvl>
    <w:lvl w:ilvl="6">
      <w:numFmt w:val="bullet"/>
      <w:lvlText w:val="•"/>
      <w:lvlJc w:val="left"/>
      <w:pPr>
        <w:ind w:left="5654" w:hanging="360"/>
      </w:pPr>
    </w:lvl>
    <w:lvl w:ilvl="7">
      <w:numFmt w:val="bullet"/>
      <w:lvlText w:val="•"/>
      <w:lvlJc w:val="left"/>
      <w:pPr>
        <w:ind w:left="6377" w:hanging="360"/>
      </w:pPr>
    </w:lvl>
    <w:lvl w:ilvl="8">
      <w:numFmt w:val="bullet"/>
      <w:lvlText w:val="•"/>
      <w:lvlJc w:val="left"/>
      <w:pPr>
        <w:ind w:left="7099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61"/>
    <w:rsid w:val="000576D7"/>
    <w:rsid w:val="00096A7E"/>
    <w:rsid w:val="000A2FA8"/>
    <w:rsid w:val="000D0FC4"/>
    <w:rsid w:val="000F4F33"/>
    <w:rsid w:val="001112D5"/>
    <w:rsid w:val="00120B6B"/>
    <w:rsid w:val="001879E6"/>
    <w:rsid w:val="00191D8E"/>
    <w:rsid w:val="001A2238"/>
    <w:rsid w:val="001A6284"/>
    <w:rsid w:val="001B03DA"/>
    <w:rsid w:val="00270502"/>
    <w:rsid w:val="002738DD"/>
    <w:rsid w:val="002B12E2"/>
    <w:rsid w:val="002D1061"/>
    <w:rsid w:val="002D7F18"/>
    <w:rsid w:val="002E2567"/>
    <w:rsid w:val="003677FD"/>
    <w:rsid w:val="00374146"/>
    <w:rsid w:val="00394E23"/>
    <w:rsid w:val="003C1944"/>
    <w:rsid w:val="003E0A57"/>
    <w:rsid w:val="004453C5"/>
    <w:rsid w:val="004855C9"/>
    <w:rsid w:val="004F5953"/>
    <w:rsid w:val="00501EEA"/>
    <w:rsid w:val="0051244B"/>
    <w:rsid w:val="00563208"/>
    <w:rsid w:val="00605CD6"/>
    <w:rsid w:val="00615069"/>
    <w:rsid w:val="00684352"/>
    <w:rsid w:val="0069074A"/>
    <w:rsid w:val="00692873"/>
    <w:rsid w:val="00701FDB"/>
    <w:rsid w:val="007162D2"/>
    <w:rsid w:val="007247BB"/>
    <w:rsid w:val="00726882"/>
    <w:rsid w:val="007508A4"/>
    <w:rsid w:val="007B07D6"/>
    <w:rsid w:val="007E2AE0"/>
    <w:rsid w:val="007F446A"/>
    <w:rsid w:val="0080072D"/>
    <w:rsid w:val="00842A9C"/>
    <w:rsid w:val="00844452"/>
    <w:rsid w:val="008453D3"/>
    <w:rsid w:val="00886197"/>
    <w:rsid w:val="008A5E77"/>
    <w:rsid w:val="008A7F9A"/>
    <w:rsid w:val="008E0946"/>
    <w:rsid w:val="008F2B50"/>
    <w:rsid w:val="00902652"/>
    <w:rsid w:val="00966FDD"/>
    <w:rsid w:val="00994E2C"/>
    <w:rsid w:val="009C6D8F"/>
    <w:rsid w:val="00A534AD"/>
    <w:rsid w:val="00A76930"/>
    <w:rsid w:val="00AC0240"/>
    <w:rsid w:val="00AD3DD6"/>
    <w:rsid w:val="00AE06B2"/>
    <w:rsid w:val="00B315BA"/>
    <w:rsid w:val="00B511E3"/>
    <w:rsid w:val="00B56958"/>
    <w:rsid w:val="00BE726F"/>
    <w:rsid w:val="00C1709E"/>
    <w:rsid w:val="00C74311"/>
    <w:rsid w:val="00C854D4"/>
    <w:rsid w:val="00CA4446"/>
    <w:rsid w:val="00CC78F9"/>
    <w:rsid w:val="00CE3A37"/>
    <w:rsid w:val="00CF1AB9"/>
    <w:rsid w:val="00D359F1"/>
    <w:rsid w:val="00D546DA"/>
    <w:rsid w:val="00D72A92"/>
    <w:rsid w:val="00DC1204"/>
    <w:rsid w:val="00DC20AC"/>
    <w:rsid w:val="00E37B2B"/>
    <w:rsid w:val="00E50C6F"/>
    <w:rsid w:val="00E56778"/>
    <w:rsid w:val="00E93C61"/>
    <w:rsid w:val="00EF73BB"/>
    <w:rsid w:val="00F00A8D"/>
    <w:rsid w:val="00F2227E"/>
    <w:rsid w:val="00F40B22"/>
    <w:rsid w:val="00F44CC1"/>
    <w:rsid w:val="00FE68DD"/>
    <w:rsid w:val="00FF3249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61338"/>
  <w14:defaultImageDpi w14:val="0"/>
  <w15:docId w15:val="{8AB44091-57FD-4505-99D6-25F7CAE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4"/>
      <w:szCs w:val="24"/>
    </w:rPr>
  </w:style>
  <w:style w:type="paragraph" w:styleId="a5">
    <w:name w:val="List Paragraph"/>
    <w:basedOn w:val="a"/>
    <w:uiPriority w:val="1"/>
    <w:qFormat/>
    <w:pPr>
      <w:ind w:left="1320" w:right="2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B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03DA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03DA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2</cp:revision>
  <dcterms:created xsi:type="dcterms:W3CDTF">2023-07-17T06:25:00Z</dcterms:created>
  <dcterms:modified xsi:type="dcterms:W3CDTF">2023-07-17T06:25:00Z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