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35" w:rsidRDefault="00CC1C35" w:rsidP="009D1D13">
      <w:pPr>
        <w:widowControl/>
        <w:spacing w:line="400" w:lineRule="exact"/>
        <w:jc w:val="center"/>
        <w:rPr>
          <w:rFonts w:hAnsi="標楷體"/>
          <w:color w:val="000000"/>
          <w:sz w:val="30"/>
          <w:szCs w:val="30"/>
        </w:rPr>
      </w:pPr>
      <w:r w:rsidRPr="00DD3A39">
        <w:rPr>
          <w:color w:val="000000"/>
          <w:sz w:val="30"/>
          <w:szCs w:val="30"/>
        </w:rPr>
        <w:t>10</w:t>
      </w:r>
      <w:r>
        <w:rPr>
          <w:color w:val="000000"/>
          <w:sz w:val="30"/>
          <w:szCs w:val="30"/>
        </w:rPr>
        <w:t>3</w:t>
      </w:r>
      <w:r w:rsidRPr="00DD3A39">
        <w:rPr>
          <w:rFonts w:hint="eastAsia"/>
          <w:color w:val="000000"/>
          <w:sz w:val="30"/>
          <w:szCs w:val="30"/>
        </w:rPr>
        <w:t>年度</w:t>
      </w:r>
      <w:r w:rsidRPr="00DD3A39">
        <w:rPr>
          <w:rFonts w:hAnsi="標楷體" w:hint="eastAsia"/>
          <w:color w:val="000000"/>
          <w:sz w:val="30"/>
          <w:szCs w:val="30"/>
        </w:rPr>
        <w:t>教育部補助</w:t>
      </w:r>
      <w:r w:rsidRPr="00DD3A39">
        <w:rPr>
          <w:rFonts w:ascii="標楷體" w:hAnsi="標楷體" w:hint="eastAsia"/>
          <w:color w:val="000000"/>
          <w:sz w:val="30"/>
          <w:szCs w:val="30"/>
        </w:rPr>
        <w:t>未獲邁向頂尖大學計畫或獎勵大學教學卓越計畫之大專院校實施特殊優秀人才彈性薪資</w:t>
      </w:r>
      <w:r w:rsidRPr="00DD3A39">
        <w:rPr>
          <w:rFonts w:hAnsi="標楷體" w:hint="eastAsia"/>
          <w:color w:val="000000"/>
          <w:sz w:val="30"/>
          <w:szCs w:val="30"/>
        </w:rPr>
        <w:t>方案</w:t>
      </w:r>
      <w:r>
        <w:rPr>
          <w:rFonts w:hAnsi="標楷體" w:hint="eastAsia"/>
          <w:color w:val="000000"/>
          <w:sz w:val="30"/>
          <w:szCs w:val="30"/>
        </w:rPr>
        <w:t>審查意見</w:t>
      </w:r>
    </w:p>
    <w:p w:rsidR="00CC1C35" w:rsidRDefault="00CC1C35" w:rsidP="00C57899">
      <w:pPr>
        <w:widowControl/>
        <w:spacing w:line="400" w:lineRule="exact"/>
        <w:ind w:firstLineChars="70" w:firstLine="196"/>
        <w:rPr>
          <w:rFonts w:hAnsi="標楷體"/>
          <w:color w:val="000000"/>
          <w:sz w:val="30"/>
          <w:szCs w:val="30"/>
        </w:rPr>
      </w:pPr>
      <w:r w:rsidRPr="00C672C6">
        <w:rPr>
          <w:rFonts w:hAnsi="標楷體" w:hint="eastAsia"/>
          <w:color w:val="000000"/>
          <w:szCs w:val="28"/>
        </w:rPr>
        <w:t>學校名稱：</w:t>
      </w:r>
      <w:r>
        <w:rPr>
          <w:rFonts w:hAnsi="標楷體" w:hint="eastAsia"/>
          <w:color w:val="000000"/>
          <w:szCs w:val="28"/>
        </w:rPr>
        <w:t>國立澎湖科技大學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CC1C35" w:rsidTr="006E5C0C">
        <w:trPr>
          <w:jc w:val="center"/>
        </w:trPr>
        <w:tc>
          <w:tcPr>
            <w:tcW w:w="9918" w:type="dxa"/>
          </w:tcPr>
          <w:p w:rsidR="00CC1C35" w:rsidRDefault="00CC1C35" w:rsidP="006E5C0C">
            <w:pPr>
              <w:widowControl/>
              <w:spacing w:line="400" w:lineRule="exact"/>
              <w:jc w:val="center"/>
            </w:pPr>
            <w:r>
              <w:rPr>
                <w:rFonts w:hint="eastAsia"/>
              </w:rPr>
              <w:t>審查意見表</w:t>
            </w:r>
          </w:p>
        </w:tc>
      </w:tr>
      <w:tr w:rsidR="00CC1C35" w:rsidTr="006E5C0C">
        <w:trPr>
          <w:jc w:val="center"/>
        </w:trPr>
        <w:tc>
          <w:tcPr>
            <w:tcW w:w="9918" w:type="dxa"/>
          </w:tcPr>
          <w:p w:rsidR="00CC1C35" w:rsidRPr="006E5C0C" w:rsidRDefault="00CC1C35" w:rsidP="006E5C0C">
            <w:pPr>
              <w:pStyle w:val="ListParagraph"/>
              <w:widowControl/>
              <w:numPr>
                <w:ilvl w:val="0"/>
                <w:numId w:val="2"/>
              </w:numPr>
              <w:spacing w:line="400" w:lineRule="exact"/>
              <w:ind w:leftChars="0"/>
              <w:rPr>
                <w:rFonts w:ascii="Arial" w:hAnsi="Arial" w:cs="Arial"/>
                <w:kern w:val="0"/>
              </w:rPr>
            </w:pPr>
            <w:r w:rsidRPr="006E5C0C">
              <w:rPr>
                <w:rFonts w:ascii="Arial" w:hAnsi="Arial" w:cs="Arial" w:hint="eastAsia"/>
                <w:noProof/>
                <w:kern w:val="0"/>
              </w:rPr>
              <w:t>在特色與發展策略及人才延攬</w:t>
            </w:r>
            <w:bookmarkStart w:id="0" w:name="_GoBack"/>
            <w:bookmarkEnd w:id="0"/>
            <w:r w:rsidRPr="006E5C0C">
              <w:rPr>
                <w:rFonts w:ascii="Arial" w:hAnsi="Arial" w:cs="Arial" w:hint="eastAsia"/>
                <w:noProof/>
                <w:kern w:val="0"/>
              </w:rPr>
              <w:t>的計畫，僅描述願景與期待，建議補充說明具體的實踐策略內容。</w:t>
            </w:r>
          </w:p>
          <w:p w:rsidR="00CC1C35" w:rsidRPr="006E5C0C" w:rsidRDefault="00CC1C35" w:rsidP="006E5C0C">
            <w:pPr>
              <w:pStyle w:val="ListParagraph"/>
              <w:widowControl/>
              <w:numPr>
                <w:ilvl w:val="0"/>
                <w:numId w:val="2"/>
              </w:numPr>
              <w:spacing w:line="400" w:lineRule="exact"/>
              <w:ind w:leftChars="0"/>
              <w:rPr>
                <w:rFonts w:ascii="Arial" w:hAnsi="Arial" w:cs="Arial"/>
                <w:kern w:val="0"/>
              </w:rPr>
            </w:pPr>
            <w:r w:rsidRPr="006E5C0C">
              <w:rPr>
                <w:rFonts w:ascii="Arial" w:hAnsi="Arial" w:cs="Arial" w:hint="eastAsia"/>
                <w:noProof/>
                <w:kern w:val="0"/>
              </w:rPr>
              <w:t>在輔導服務對於諮商學生數的期待，並不是可以預期的目標，而且校外訪視貸居學生數，亦不應逐年提高，建議請導師確實拜訪貸居學生，瞭解學生校外狀況。</w:t>
            </w:r>
          </w:p>
          <w:p w:rsidR="00CC1C35" w:rsidRPr="006E5C0C" w:rsidRDefault="00CC1C35" w:rsidP="006E5C0C">
            <w:pPr>
              <w:pStyle w:val="ListParagraph"/>
              <w:widowControl/>
              <w:numPr>
                <w:ilvl w:val="0"/>
                <w:numId w:val="2"/>
              </w:numPr>
              <w:spacing w:line="400" w:lineRule="exact"/>
              <w:ind w:leftChars="0"/>
              <w:rPr>
                <w:rFonts w:ascii="Arial" w:hAnsi="Arial" w:cs="Arial"/>
                <w:noProof/>
                <w:kern w:val="0"/>
              </w:rPr>
            </w:pPr>
            <w:r w:rsidRPr="006E5C0C">
              <w:rPr>
                <w:rFonts w:ascii="Arial" w:hAnsi="Arial" w:cs="Arial" w:hint="eastAsia"/>
                <w:noProof/>
                <w:kern w:val="0"/>
              </w:rPr>
              <w:t>建議學校補充說明學校對特殊優秀人才延攬等永續財務機制。</w:t>
            </w:r>
          </w:p>
          <w:p w:rsidR="00CC1C35" w:rsidRPr="00D832FD" w:rsidRDefault="00CC1C35" w:rsidP="006E5C0C">
            <w:pPr>
              <w:pStyle w:val="ListParagraph"/>
              <w:widowControl/>
              <w:numPr>
                <w:ilvl w:val="0"/>
                <w:numId w:val="2"/>
              </w:numPr>
              <w:spacing w:line="360" w:lineRule="exact"/>
              <w:ind w:leftChars="0"/>
              <w:jc w:val="both"/>
            </w:pPr>
            <w:r w:rsidRPr="006E5C0C">
              <w:rPr>
                <w:rFonts w:ascii="Arial" w:hAnsi="Arial" w:cs="Arial" w:hint="eastAsia"/>
                <w:noProof/>
                <w:kern w:val="0"/>
              </w:rPr>
              <w:t>另績效指標應落實技職院校強調務實致用之精神，研究類不應以重視期刊論文之產出為主，建議修正相關指標內容。</w:t>
            </w:r>
          </w:p>
        </w:tc>
      </w:tr>
    </w:tbl>
    <w:p w:rsidR="00CC1C35" w:rsidRPr="0005135E" w:rsidRDefault="00CC1C35" w:rsidP="009D1D13">
      <w:pPr>
        <w:widowControl/>
        <w:spacing w:line="400" w:lineRule="exact"/>
        <w:jc w:val="center"/>
      </w:pPr>
    </w:p>
    <w:sectPr w:rsidR="00CC1C35" w:rsidRPr="0005135E" w:rsidSect="00C57899">
      <w:pgSz w:w="11906" w:h="16838"/>
      <w:pgMar w:top="1440" w:right="1800" w:bottom="1440" w:left="1800" w:header="851" w:footer="992" w:gutter="0"/>
      <w:cols w:space="425"/>
      <w:docGrid w:type="lines"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7BEB"/>
    <w:multiLevelType w:val="hybridMultilevel"/>
    <w:tmpl w:val="8D94CB0C"/>
    <w:lvl w:ilvl="0" w:tplc="CF06B33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90635C0"/>
    <w:multiLevelType w:val="hybridMultilevel"/>
    <w:tmpl w:val="64EC44F6"/>
    <w:lvl w:ilvl="0" w:tplc="7892FDE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C40674E"/>
    <w:multiLevelType w:val="hybridMultilevel"/>
    <w:tmpl w:val="D9623A52"/>
    <w:lvl w:ilvl="0" w:tplc="CF06B33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C7F5EF2"/>
    <w:multiLevelType w:val="hybridMultilevel"/>
    <w:tmpl w:val="D95C41C8"/>
    <w:lvl w:ilvl="0" w:tplc="CF06B33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E3E631A"/>
    <w:multiLevelType w:val="hybridMultilevel"/>
    <w:tmpl w:val="49325596"/>
    <w:lvl w:ilvl="0" w:tplc="DA883BBC">
      <w:start w:val="1"/>
      <w:numFmt w:val="decimal"/>
      <w:lvlText w:val="%1."/>
      <w:lvlJc w:val="left"/>
      <w:pPr>
        <w:ind w:left="480" w:hanging="48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A79054C"/>
    <w:multiLevelType w:val="hybridMultilevel"/>
    <w:tmpl w:val="8416A21E"/>
    <w:lvl w:ilvl="0" w:tplc="CF06B33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B421605"/>
    <w:multiLevelType w:val="hybridMultilevel"/>
    <w:tmpl w:val="F80EDB8A"/>
    <w:lvl w:ilvl="0" w:tplc="7892FDE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F2F3A79"/>
    <w:multiLevelType w:val="hybridMultilevel"/>
    <w:tmpl w:val="C2167CB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805360F"/>
    <w:multiLevelType w:val="hybridMultilevel"/>
    <w:tmpl w:val="21702A2C"/>
    <w:lvl w:ilvl="0" w:tplc="CF06B33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1130873"/>
    <w:multiLevelType w:val="hybridMultilevel"/>
    <w:tmpl w:val="41942500"/>
    <w:lvl w:ilvl="0" w:tplc="7892FDE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5DA56F2"/>
    <w:multiLevelType w:val="hybridMultilevel"/>
    <w:tmpl w:val="7B169262"/>
    <w:lvl w:ilvl="0" w:tplc="7892FDE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4"/>
  </w:num>
  <w:num w:numId="3">
    <w:abstractNumId w:val="6"/>
  </w:num>
  <w:num w:numId="4">
    <w:abstractNumId w:val="9"/>
  </w:num>
  <w:num w:numId="5">
    <w:abstractNumId w:val="2"/>
  </w:num>
  <w:num w:numId="6">
    <w:abstractNumId w:val="10"/>
  </w:num>
  <w:num w:numId="7">
    <w:abstractNumId w:val="8"/>
  </w:num>
  <w:num w:numId="8">
    <w:abstractNumId w:val="3"/>
  </w:num>
  <w:num w:numId="9">
    <w:abstractNumId w:val="5"/>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80"/>
  <w:drawingGridHorizontalSpacing w:val="140"/>
  <w:drawingGridVerticalSpacing w:val="381"/>
  <w:displayHorizontalDrawingGridEvery w:val="0"/>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1D13"/>
    <w:rsid w:val="0005135E"/>
    <w:rsid w:val="000D06A1"/>
    <w:rsid w:val="00173E29"/>
    <w:rsid w:val="00222AF2"/>
    <w:rsid w:val="00374D5D"/>
    <w:rsid w:val="003A5E66"/>
    <w:rsid w:val="00417AA2"/>
    <w:rsid w:val="004B4AFD"/>
    <w:rsid w:val="00581FC2"/>
    <w:rsid w:val="006E5C0C"/>
    <w:rsid w:val="00780C4F"/>
    <w:rsid w:val="00843F9B"/>
    <w:rsid w:val="009002BD"/>
    <w:rsid w:val="009D1D13"/>
    <w:rsid w:val="00A97166"/>
    <w:rsid w:val="00C57899"/>
    <w:rsid w:val="00C672C6"/>
    <w:rsid w:val="00C96E88"/>
    <w:rsid w:val="00CC1C35"/>
    <w:rsid w:val="00D832FD"/>
    <w:rsid w:val="00DD3A39"/>
    <w:rsid w:val="00E8305E"/>
    <w:rsid w:val="00ED1CC5"/>
    <w:rsid w:val="00F06955"/>
    <w:rsid w:val="00F50A61"/>
    <w:rsid w:val="00F64B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D13"/>
    <w:pPr>
      <w:widowControl w:val="0"/>
    </w:pPr>
    <w:rPr>
      <w:rFonts w:ascii="Times New Roman" w:eastAsia="標楷體"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13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5135E"/>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40</Words>
  <Characters>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103年度教育部補助未獲邁向頂尖大學計畫或獎勵大學教學卓越計畫之大專院校實施特殊優秀人才彈性薪資方案審查意見</dc:title>
  <dc:subject/>
  <dc:creator>moejsmpc</dc:creator>
  <cp:keywords/>
  <dc:description/>
  <cp:lastModifiedBy>user</cp:lastModifiedBy>
  <cp:revision>2</cp:revision>
  <dcterms:created xsi:type="dcterms:W3CDTF">2014-12-31T07:54:00Z</dcterms:created>
  <dcterms:modified xsi:type="dcterms:W3CDTF">2014-12-31T07:54:00Z</dcterms:modified>
</cp:coreProperties>
</file>