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C917" w14:textId="106C9BA9" w:rsidR="00B14766" w:rsidRPr="00DC1D63" w:rsidRDefault="00672307" w:rsidP="00672307">
      <w:pPr>
        <w:jc w:val="center"/>
        <w:rPr>
          <w:rFonts w:ascii="標楷體" w:eastAsia="標楷體" w:hAnsi="標楷體"/>
          <w:sz w:val="26"/>
          <w:szCs w:val="26"/>
        </w:rPr>
      </w:pPr>
      <w:r w:rsidRPr="00DC1D63">
        <w:rPr>
          <w:rFonts w:ascii="標楷體" w:eastAsia="標楷體" w:hAnsi="標楷體"/>
          <w:sz w:val="26"/>
          <w:szCs w:val="26"/>
        </w:rPr>
        <w:t>國立澎湖科技大學職業安全衛生及環境保護暨毒性化學物質運作管理委員會設置辦法</w:t>
      </w:r>
    </w:p>
    <w:p w14:paraId="052A1552" w14:textId="3A809B91" w:rsidR="00672307" w:rsidRPr="00672307" w:rsidRDefault="00672307" w:rsidP="00672307">
      <w:pPr>
        <w:spacing w:line="240" w:lineRule="exact"/>
        <w:jc w:val="center"/>
        <w:rPr>
          <w:rFonts w:ascii="標楷體" w:eastAsia="標楷體" w:hAnsi="標楷體"/>
        </w:rPr>
      </w:pPr>
    </w:p>
    <w:p w14:paraId="2351D461" w14:textId="50594B57" w:rsidR="00672307" w:rsidRPr="00672307" w:rsidRDefault="00672307" w:rsidP="00672307">
      <w:pPr>
        <w:spacing w:line="240" w:lineRule="exact"/>
        <w:jc w:val="right"/>
        <w:rPr>
          <w:rFonts w:ascii="標楷體" w:eastAsia="標楷體" w:hAnsi="標楷體"/>
          <w:sz w:val="16"/>
          <w:szCs w:val="14"/>
        </w:rPr>
      </w:pPr>
      <w:r w:rsidRPr="00672307">
        <w:rPr>
          <w:rFonts w:ascii="標楷體" w:eastAsia="標楷體" w:hAnsi="標楷體"/>
          <w:sz w:val="16"/>
          <w:szCs w:val="14"/>
        </w:rPr>
        <w:t>94.8.30九十四學年度第一學期第一次行政會議修正通過</w:t>
      </w:r>
    </w:p>
    <w:p w14:paraId="4FBE3DE5" w14:textId="0CAC1795" w:rsidR="00672307" w:rsidRPr="00672307" w:rsidRDefault="00672307" w:rsidP="00672307">
      <w:pPr>
        <w:spacing w:line="240" w:lineRule="exact"/>
        <w:jc w:val="right"/>
        <w:rPr>
          <w:rFonts w:ascii="標楷體" w:eastAsia="標楷體" w:hAnsi="標楷體"/>
          <w:sz w:val="16"/>
          <w:szCs w:val="14"/>
        </w:rPr>
      </w:pPr>
      <w:r w:rsidRPr="00672307">
        <w:rPr>
          <w:rFonts w:ascii="標楷體" w:eastAsia="標楷體" w:hAnsi="標楷體"/>
          <w:sz w:val="16"/>
          <w:szCs w:val="14"/>
        </w:rPr>
        <w:t>98.1.15九十七學年第二學期第一次行政會議修正通過</w:t>
      </w:r>
    </w:p>
    <w:p w14:paraId="72DCED07" w14:textId="096D25AD" w:rsidR="00672307" w:rsidRDefault="00672307" w:rsidP="00672307">
      <w:pPr>
        <w:spacing w:line="240" w:lineRule="exact"/>
        <w:jc w:val="right"/>
        <w:rPr>
          <w:rFonts w:ascii="標楷體" w:eastAsia="標楷體" w:hAnsi="標楷體"/>
          <w:sz w:val="16"/>
          <w:szCs w:val="14"/>
        </w:rPr>
      </w:pPr>
      <w:r w:rsidRPr="00672307">
        <w:rPr>
          <w:rFonts w:ascii="標楷體" w:eastAsia="標楷體" w:hAnsi="標楷體"/>
          <w:sz w:val="16"/>
          <w:szCs w:val="14"/>
        </w:rPr>
        <w:t>102.1.17 101 學年第一學期第六次行政會議修正通過</w:t>
      </w:r>
    </w:p>
    <w:p w14:paraId="3B4B063C" w14:textId="76E0F74F" w:rsidR="00B47A45" w:rsidRPr="00B47A45" w:rsidRDefault="00B47A45" w:rsidP="00672307">
      <w:pPr>
        <w:spacing w:line="240" w:lineRule="exact"/>
        <w:jc w:val="right"/>
        <w:rPr>
          <w:rFonts w:ascii="標楷體" w:eastAsia="標楷體" w:hAnsi="標楷體"/>
          <w:sz w:val="20"/>
          <w:szCs w:val="18"/>
        </w:rPr>
      </w:pPr>
      <w:r w:rsidRPr="007E2FA3">
        <w:rPr>
          <w:rFonts w:ascii="標楷體" w:eastAsia="標楷體" w:hAnsi="標楷體" w:hint="eastAsia"/>
          <w:sz w:val="16"/>
          <w:szCs w:val="14"/>
        </w:rPr>
        <w:t>110.0</w:t>
      </w:r>
      <w:r w:rsidR="00F33813" w:rsidRPr="007E2FA3">
        <w:rPr>
          <w:rFonts w:ascii="標楷體" w:eastAsia="標楷體" w:hAnsi="標楷體" w:hint="eastAsia"/>
          <w:sz w:val="16"/>
          <w:szCs w:val="14"/>
        </w:rPr>
        <w:t>5</w:t>
      </w:r>
      <w:r w:rsidRPr="007E2FA3">
        <w:rPr>
          <w:rFonts w:ascii="標楷體" w:eastAsia="標楷體" w:hAnsi="標楷體" w:hint="eastAsia"/>
          <w:sz w:val="16"/>
          <w:szCs w:val="14"/>
        </w:rPr>
        <w:t>.</w:t>
      </w:r>
      <w:r w:rsidR="00F33813" w:rsidRPr="007E2FA3">
        <w:rPr>
          <w:rFonts w:ascii="標楷體" w:eastAsia="標楷體" w:hAnsi="標楷體" w:hint="eastAsia"/>
          <w:sz w:val="16"/>
          <w:szCs w:val="14"/>
        </w:rPr>
        <w:t>13</w:t>
      </w:r>
      <w:r w:rsidRPr="007E2FA3">
        <w:rPr>
          <w:rFonts w:ascii="標楷體" w:eastAsia="標楷體" w:hAnsi="標楷體" w:hint="eastAsia"/>
          <w:color w:val="FF0000"/>
          <w:sz w:val="16"/>
          <w:szCs w:val="14"/>
        </w:rPr>
        <w:t xml:space="preserve"> </w:t>
      </w:r>
      <w:r w:rsidR="007E2FA3" w:rsidRPr="002C22D1">
        <w:rPr>
          <w:rFonts w:ascii="標楷體" w:eastAsia="標楷體" w:hAnsi="標楷體" w:hint="eastAsia"/>
          <w:sz w:val="18"/>
        </w:rPr>
        <w:t>職業安全衛生及環境保護暨毒性化學物質運作管理委員會會議通過</w:t>
      </w:r>
    </w:p>
    <w:p w14:paraId="01020CFC" w14:textId="77777777" w:rsidR="00294BC1" w:rsidRDefault="00672307" w:rsidP="00294BC1">
      <w:pPr>
        <w:rPr>
          <w:rFonts w:ascii="標楷體" w:eastAsia="標楷體" w:hAnsi="標楷體"/>
        </w:rPr>
      </w:pPr>
      <w:r w:rsidRPr="00672307">
        <w:rPr>
          <w:rFonts w:ascii="標楷體" w:eastAsia="標楷體" w:hAnsi="標楷體"/>
        </w:rPr>
        <w:t>第一條 本校為落實推動校園職業安全衛生及環境保護業務之發展，依「</w:t>
      </w:r>
      <w:r w:rsidR="00294BC1" w:rsidRPr="00294BC1">
        <w:rPr>
          <w:rFonts w:ascii="標楷體" w:eastAsia="標楷體" w:hAnsi="標楷體" w:hint="eastAsia"/>
          <w:color w:val="FF0000"/>
          <w:highlight w:val="yellow"/>
        </w:rPr>
        <w:t>職業安全衛生法</w:t>
      </w:r>
      <w:r w:rsidRPr="00672307">
        <w:rPr>
          <w:rFonts w:ascii="標楷體" w:eastAsia="標楷體" w:hAnsi="標楷體"/>
        </w:rPr>
        <w:t>」、環</w:t>
      </w:r>
    </w:p>
    <w:p w14:paraId="030C4E7F" w14:textId="77777777" w:rsidR="00294BC1" w:rsidRDefault="00672307" w:rsidP="00294BC1">
      <w:pPr>
        <w:ind w:firstLineChars="350" w:firstLine="840"/>
        <w:rPr>
          <w:rFonts w:ascii="標楷體" w:eastAsia="標楷體" w:hAnsi="標楷體"/>
        </w:rPr>
      </w:pPr>
      <w:r w:rsidRPr="00672307">
        <w:rPr>
          <w:rFonts w:ascii="標楷體" w:eastAsia="標楷體" w:hAnsi="標楷體"/>
        </w:rPr>
        <w:t>境保護法及毒性化學物質運作管理等相關法規規定，設置國立澎湖科技大學「職業安</w:t>
      </w:r>
    </w:p>
    <w:p w14:paraId="14B15523" w14:textId="17CBDDE5" w:rsidR="00672307" w:rsidRPr="00672307" w:rsidRDefault="00672307" w:rsidP="00294BC1">
      <w:pPr>
        <w:ind w:firstLineChars="350" w:firstLine="840"/>
        <w:rPr>
          <w:rFonts w:ascii="標楷體" w:eastAsia="標楷體" w:hAnsi="標楷體"/>
        </w:rPr>
      </w:pPr>
      <w:r w:rsidRPr="00672307">
        <w:rPr>
          <w:rFonts w:ascii="標楷體" w:eastAsia="標楷體" w:hAnsi="標楷體"/>
        </w:rPr>
        <w:t xml:space="preserve">全衛生暨環境暨毒性化學物質運作管理委員會」（以下簡稱本委員會）。 </w:t>
      </w:r>
    </w:p>
    <w:p w14:paraId="2F000A60" w14:textId="77777777" w:rsidR="00672307" w:rsidRDefault="00672307" w:rsidP="00672307">
      <w:pPr>
        <w:rPr>
          <w:rFonts w:ascii="標楷體" w:eastAsia="標楷體" w:hAnsi="標楷體"/>
        </w:rPr>
      </w:pPr>
      <w:r w:rsidRPr="00672307">
        <w:rPr>
          <w:rFonts w:ascii="標楷體" w:eastAsia="標楷體" w:hAnsi="標楷體"/>
        </w:rPr>
        <w:t>第二條 本委員會設主任委員一人，由校長擔任；副主任委員一人，由總務長擔任；執行祕書</w:t>
      </w:r>
    </w:p>
    <w:p w14:paraId="38EFEC93" w14:textId="77777777" w:rsidR="00672307" w:rsidRDefault="00672307" w:rsidP="00672307">
      <w:pPr>
        <w:ind w:firstLineChars="354" w:firstLine="850"/>
        <w:rPr>
          <w:rFonts w:ascii="標楷體" w:eastAsia="標楷體" w:hAnsi="標楷體"/>
        </w:rPr>
      </w:pPr>
      <w:r w:rsidRPr="00672307">
        <w:rPr>
          <w:rFonts w:ascii="標楷體" w:eastAsia="標楷體" w:hAnsi="標楷體"/>
        </w:rPr>
        <w:t>一人，由環安組組長擔任；副校長、主任祕書、教務長、學務長、總務長、研發長、</w:t>
      </w:r>
    </w:p>
    <w:p w14:paraId="0B90BE8C" w14:textId="77777777" w:rsidR="00672307" w:rsidRDefault="00672307" w:rsidP="00672307">
      <w:pPr>
        <w:ind w:firstLineChars="354" w:firstLine="850"/>
        <w:rPr>
          <w:rFonts w:ascii="標楷體" w:eastAsia="標楷體" w:hAnsi="標楷體"/>
        </w:rPr>
      </w:pPr>
      <w:r w:rsidRPr="00672307">
        <w:rPr>
          <w:rFonts w:ascii="標楷體" w:eastAsia="標楷體" w:hAnsi="標楷體" w:hint="eastAsia"/>
          <w:color w:val="FF0000"/>
        </w:rPr>
        <w:t>主</w:t>
      </w:r>
      <w:r w:rsidRPr="00672307">
        <w:rPr>
          <w:rFonts w:ascii="標楷體" w:eastAsia="標楷體" w:hAnsi="標楷體"/>
        </w:rPr>
        <w:t>計主任、人事室主任、學院院長、圖書資訊館館長、進修推廣部主任、通識中心主</w:t>
      </w:r>
    </w:p>
    <w:p w14:paraId="29545612" w14:textId="77777777" w:rsidR="00672307" w:rsidRDefault="00672307" w:rsidP="00672307">
      <w:pPr>
        <w:ind w:firstLineChars="354" w:firstLine="850"/>
        <w:rPr>
          <w:rFonts w:ascii="標楷體" w:eastAsia="標楷體" w:hAnsi="標楷體"/>
        </w:rPr>
      </w:pPr>
      <w:r w:rsidRPr="00672307">
        <w:rPr>
          <w:rFonts w:ascii="標楷體" w:eastAsia="標楷體" w:hAnsi="標楷體"/>
        </w:rPr>
        <w:t>任、研究所所長、系主任、生活輔導組組長、事務組組長、營繕組組長、身心健康中</w:t>
      </w:r>
    </w:p>
    <w:p w14:paraId="1D16D5BE" w14:textId="77777777" w:rsidR="00672307" w:rsidRDefault="00672307" w:rsidP="00672307">
      <w:pPr>
        <w:ind w:firstLineChars="354" w:firstLine="850"/>
        <w:rPr>
          <w:rFonts w:ascii="標楷體" w:eastAsia="標楷體" w:hAnsi="標楷體"/>
        </w:rPr>
      </w:pPr>
      <w:r w:rsidRPr="00672307">
        <w:rPr>
          <w:rFonts w:ascii="標楷體" w:eastAsia="標楷體" w:hAnsi="標楷體"/>
        </w:rPr>
        <w:t>心主任為當然委員；教職員工代表委員由設置有實驗室、試驗室、實習工場、實驗工</w:t>
      </w:r>
    </w:p>
    <w:p w14:paraId="3651D090" w14:textId="77777777" w:rsidR="00672307" w:rsidRDefault="00672307" w:rsidP="00672307">
      <w:pPr>
        <w:ind w:firstLineChars="354" w:firstLine="850"/>
        <w:rPr>
          <w:rFonts w:ascii="標楷體" w:eastAsia="標楷體" w:hAnsi="標楷體"/>
        </w:rPr>
      </w:pPr>
      <w:r w:rsidRPr="00672307">
        <w:rPr>
          <w:rFonts w:ascii="標楷體" w:eastAsia="標楷體" w:hAnsi="標楷體"/>
        </w:rPr>
        <w:t>場之教學單位中，每單位推派一人組成，教職員工代表委員一任二年，得連任之。毒</w:t>
      </w:r>
    </w:p>
    <w:p w14:paraId="21A62BB5" w14:textId="1012A508" w:rsidR="00672307" w:rsidRPr="00672307" w:rsidRDefault="00672307" w:rsidP="00672307">
      <w:pPr>
        <w:ind w:firstLineChars="354" w:firstLine="850"/>
        <w:rPr>
          <w:rFonts w:ascii="標楷體" w:eastAsia="標楷體" w:hAnsi="標楷體"/>
        </w:rPr>
      </w:pPr>
      <w:r w:rsidRPr="00672307">
        <w:rPr>
          <w:rFonts w:ascii="標楷體" w:eastAsia="標楷體" w:hAnsi="標楷體"/>
        </w:rPr>
        <w:t>性化學物質之運作技術、毒理、管理專長應至少二人。</w:t>
      </w:r>
    </w:p>
    <w:p w14:paraId="0ED49053" w14:textId="77777777" w:rsidR="00672307" w:rsidRPr="00672307" w:rsidRDefault="00672307" w:rsidP="00672307">
      <w:pPr>
        <w:rPr>
          <w:rFonts w:ascii="標楷體" w:eastAsia="標楷體" w:hAnsi="標楷體"/>
        </w:rPr>
      </w:pPr>
      <w:r w:rsidRPr="00672307">
        <w:rPr>
          <w:rFonts w:ascii="標楷體" w:eastAsia="標楷體" w:hAnsi="標楷體"/>
        </w:rPr>
        <w:t xml:space="preserve">第三條 本委員會的職掌如下： </w:t>
      </w:r>
    </w:p>
    <w:p w14:paraId="317CDB5C"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(一) 對本校擬訂之環安衛政策提出建議。 </w:t>
      </w:r>
    </w:p>
    <w:p w14:paraId="549BF24C"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(二) 協調、建議環保及安全衛生自主管理計畫。</w:t>
      </w:r>
    </w:p>
    <w:p w14:paraId="2B31CBA6" w14:textId="4EFCC882"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(三) 研議環境安全衛生教育訓練實施計畫。 </w:t>
      </w:r>
    </w:p>
    <w:p w14:paraId="2FA5BCCB"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(四) 研議作業環境測定結果應採取之對策。 </w:t>
      </w:r>
    </w:p>
    <w:p w14:paraId="6BCA1E68"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(五) 研議健康管理及健康促進事項。 </w:t>
      </w:r>
    </w:p>
    <w:p w14:paraId="6E1D0935"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(六) 研議各項環安衛提案。 </w:t>
      </w:r>
    </w:p>
    <w:p w14:paraId="24A409B6"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(七) 研議事業單位自動檢查及環安衛稽核事項。 </w:t>
      </w:r>
    </w:p>
    <w:p w14:paraId="7ED29618"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(八) 研議機械、設備或原料、材料危害之預防措施。 </w:t>
      </w:r>
    </w:p>
    <w:p w14:paraId="5B0B826E"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(九) 研議職業災害調查報告。 </w:t>
      </w:r>
    </w:p>
    <w:p w14:paraId="4BC1971F"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(十) 考核本校環安衛管理績效。</w:t>
      </w:r>
    </w:p>
    <w:p w14:paraId="0BC6D96F" w14:textId="77777777" w:rsidR="00672307" w:rsidRDefault="00672307" w:rsidP="00672307">
      <w:pPr>
        <w:ind w:firstLineChars="354" w:firstLine="850"/>
        <w:rPr>
          <w:rFonts w:ascii="標楷體" w:eastAsia="標楷體" w:hAnsi="標楷體"/>
        </w:rPr>
      </w:pPr>
      <w:r w:rsidRPr="00672307">
        <w:rPr>
          <w:rFonts w:ascii="標楷體" w:eastAsia="標楷體" w:hAnsi="標楷體"/>
        </w:rPr>
        <w:t xml:space="preserve">(十一) 研議承攬業務安全衛生管理事項。 </w:t>
      </w:r>
    </w:p>
    <w:p w14:paraId="71A613F1" w14:textId="071F96DE" w:rsidR="00672307" w:rsidRDefault="00672307" w:rsidP="00672307">
      <w:pPr>
        <w:rPr>
          <w:rFonts w:ascii="標楷體" w:eastAsia="標楷體" w:hAnsi="標楷體"/>
        </w:rPr>
      </w:pPr>
      <w:r>
        <w:rPr>
          <w:rFonts w:ascii="標楷體" w:eastAsia="標楷體" w:hAnsi="標楷體" w:hint="eastAsia"/>
        </w:rPr>
        <w:t xml:space="preserve">      </w:t>
      </w:r>
      <w:r w:rsidRPr="00672307">
        <w:rPr>
          <w:rFonts w:ascii="標楷體" w:eastAsia="標楷體" w:hAnsi="標楷體"/>
        </w:rPr>
        <w:t>（十二）規劃、推動各單位之毒性化學物質運作管理、輻射性物質管理、實驗室廢棄</w:t>
      </w:r>
    </w:p>
    <w:p w14:paraId="4E0D7848" w14:textId="4AD0BCEE" w:rsidR="00672307" w:rsidRPr="00672307" w:rsidRDefault="00672307" w:rsidP="00672307">
      <w:pPr>
        <w:ind w:firstLineChars="354" w:firstLine="850"/>
        <w:rPr>
          <w:rFonts w:ascii="標楷體" w:eastAsia="標楷體" w:hAnsi="標楷體"/>
        </w:rPr>
      </w:pPr>
      <w:r>
        <w:rPr>
          <w:rFonts w:ascii="標楷體" w:eastAsia="標楷體" w:hAnsi="標楷體" w:hint="eastAsia"/>
        </w:rPr>
        <w:t xml:space="preserve">        </w:t>
      </w:r>
      <w:r w:rsidRPr="00672307">
        <w:rPr>
          <w:rFonts w:ascii="標楷體" w:eastAsia="標楷體" w:hAnsi="標楷體"/>
        </w:rPr>
        <w:t xml:space="preserve">物 (含廢液) 管理。 </w:t>
      </w:r>
    </w:p>
    <w:p w14:paraId="3A3FD39E" w14:textId="77777777" w:rsidR="00672307" w:rsidRPr="00672307" w:rsidRDefault="00672307" w:rsidP="00672307">
      <w:pPr>
        <w:ind w:firstLineChars="354" w:firstLine="850"/>
        <w:rPr>
          <w:rFonts w:ascii="標楷體" w:eastAsia="標楷體" w:hAnsi="標楷體"/>
        </w:rPr>
      </w:pPr>
      <w:r w:rsidRPr="00672307">
        <w:rPr>
          <w:rFonts w:ascii="標楷體" w:eastAsia="標楷體" w:hAnsi="標楷體"/>
        </w:rPr>
        <w:t xml:space="preserve">（十三）其他有關環境安全衛生管理事項。 </w:t>
      </w:r>
    </w:p>
    <w:p w14:paraId="5595C83C" w14:textId="75CC50AC" w:rsidR="00672307" w:rsidRPr="00672307" w:rsidRDefault="00672307" w:rsidP="00672307">
      <w:pPr>
        <w:ind w:firstLineChars="354" w:firstLine="850"/>
        <w:rPr>
          <w:rFonts w:ascii="標楷體" w:eastAsia="標楷體" w:hAnsi="標楷體"/>
        </w:rPr>
      </w:pPr>
      <w:r w:rsidRPr="00672307">
        <w:rPr>
          <w:rFonts w:ascii="標楷體" w:eastAsia="標楷體" w:hAnsi="標楷體"/>
        </w:rPr>
        <w:t>（十四）研議毒性化學物質使用、貯存、廢棄及管理等事項。</w:t>
      </w:r>
    </w:p>
    <w:p w14:paraId="2005C7F9" w14:textId="77777777" w:rsidR="00672307" w:rsidRDefault="00672307" w:rsidP="00672307">
      <w:pPr>
        <w:rPr>
          <w:rFonts w:ascii="標楷體" w:eastAsia="標楷體" w:hAnsi="標楷體"/>
        </w:rPr>
      </w:pPr>
      <w:r w:rsidRPr="00672307">
        <w:rPr>
          <w:rFonts w:ascii="標楷體" w:eastAsia="標楷體" w:hAnsi="標楷體"/>
        </w:rPr>
        <w:t>第四條 本委員會每三個月開會一次，由主任委員擔任主席，主任委員因故無法出席時，由副</w:t>
      </w:r>
    </w:p>
    <w:p w14:paraId="2782D74A" w14:textId="61EB6EC8" w:rsidR="00672307" w:rsidRPr="00672307" w:rsidRDefault="00672307" w:rsidP="00672307">
      <w:pPr>
        <w:ind w:firstLineChars="350" w:firstLine="840"/>
        <w:rPr>
          <w:rFonts w:ascii="標楷體" w:eastAsia="標楷體" w:hAnsi="標楷體"/>
        </w:rPr>
      </w:pPr>
      <w:r w:rsidRPr="00672307">
        <w:rPr>
          <w:rFonts w:ascii="標楷體" w:eastAsia="標楷體" w:hAnsi="標楷體"/>
        </w:rPr>
        <w:t xml:space="preserve">主任委員擔任主席，必要時得召開臨時會議。 </w:t>
      </w:r>
    </w:p>
    <w:p w14:paraId="61A4B51D" w14:textId="77777777" w:rsidR="00672307" w:rsidRDefault="00672307" w:rsidP="00672307">
      <w:pPr>
        <w:rPr>
          <w:rFonts w:ascii="標楷體" w:eastAsia="標楷體" w:hAnsi="標楷體"/>
        </w:rPr>
      </w:pPr>
      <w:r w:rsidRPr="00672307">
        <w:rPr>
          <w:rFonts w:ascii="標楷體" w:eastAsia="標楷體" w:hAnsi="標楷體"/>
        </w:rPr>
        <w:t>第五條 本委員會開會時應有委員二分之一以上出席，議決事項應有出席委員二分之一以上同</w:t>
      </w:r>
    </w:p>
    <w:p w14:paraId="02A986AB" w14:textId="0F2A37A0" w:rsidR="00672307" w:rsidRPr="00672307" w:rsidRDefault="00672307" w:rsidP="00672307">
      <w:pPr>
        <w:ind w:firstLineChars="350" w:firstLine="840"/>
        <w:rPr>
          <w:rFonts w:ascii="標楷體" w:eastAsia="標楷體" w:hAnsi="標楷體"/>
        </w:rPr>
      </w:pPr>
      <w:r w:rsidRPr="00672307">
        <w:rPr>
          <w:rFonts w:ascii="標楷體" w:eastAsia="標楷體" w:hAnsi="標楷體"/>
        </w:rPr>
        <w:t xml:space="preserve">意，方得決議。 </w:t>
      </w:r>
    </w:p>
    <w:p w14:paraId="5E67BEEA" w14:textId="77777777" w:rsidR="00672307" w:rsidRPr="00672307" w:rsidRDefault="00672307" w:rsidP="00672307">
      <w:pPr>
        <w:rPr>
          <w:rFonts w:ascii="標楷體" w:eastAsia="標楷體" w:hAnsi="標楷體"/>
        </w:rPr>
      </w:pPr>
      <w:r w:rsidRPr="00672307">
        <w:rPr>
          <w:rFonts w:ascii="標楷體" w:eastAsia="標楷體" w:hAnsi="標楷體"/>
        </w:rPr>
        <w:t xml:space="preserve">第六條 本委員會視需要得邀請相關人員列席會議。 </w:t>
      </w:r>
    </w:p>
    <w:p w14:paraId="07A485F0" w14:textId="77777777" w:rsidR="00672307" w:rsidRDefault="00672307" w:rsidP="00672307">
      <w:pPr>
        <w:rPr>
          <w:rFonts w:ascii="標楷體" w:eastAsia="標楷體" w:hAnsi="標楷體"/>
        </w:rPr>
      </w:pPr>
      <w:r w:rsidRPr="00672307">
        <w:rPr>
          <w:rFonts w:ascii="標楷體" w:eastAsia="標楷體" w:hAnsi="標楷體"/>
        </w:rPr>
        <w:t>第七條 依規定需接受「職業安全衛生法」管理之各單位，應協助、配合及推動本校有關勞工</w:t>
      </w:r>
    </w:p>
    <w:p w14:paraId="13364D8C" w14:textId="6C800DF6" w:rsidR="00672307" w:rsidRPr="00672307" w:rsidRDefault="00672307" w:rsidP="00672307">
      <w:pPr>
        <w:ind w:firstLineChars="355" w:firstLine="852"/>
        <w:rPr>
          <w:rFonts w:ascii="標楷體" w:eastAsia="標楷體" w:hAnsi="標楷體"/>
        </w:rPr>
      </w:pPr>
      <w:r w:rsidRPr="00672307">
        <w:rPr>
          <w:rFonts w:ascii="標楷體" w:eastAsia="標楷體" w:hAnsi="標楷體"/>
        </w:rPr>
        <w:t xml:space="preserve">安全衛生之工作，並接受本委員會之監督。 </w:t>
      </w:r>
    </w:p>
    <w:p w14:paraId="171DEEFA" w14:textId="00B6DA86" w:rsidR="00672307" w:rsidRPr="00672307" w:rsidRDefault="00672307" w:rsidP="00672307">
      <w:pPr>
        <w:rPr>
          <w:rFonts w:ascii="標楷體" w:eastAsia="標楷體" w:hAnsi="標楷體"/>
        </w:rPr>
      </w:pPr>
      <w:r w:rsidRPr="00672307">
        <w:rPr>
          <w:rFonts w:ascii="標楷體" w:eastAsia="標楷體" w:hAnsi="標楷體"/>
        </w:rPr>
        <w:t>第八條 本委員會為落實及推動職業安全衛生管理與環境保護之需要，每年得編列預算支應。</w:t>
      </w:r>
    </w:p>
    <w:p w14:paraId="7AED3229" w14:textId="01EA0926" w:rsidR="00672307" w:rsidRPr="00672307" w:rsidRDefault="00672307" w:rsidP="00672307">
      <w:pPr>
        <w:rPr>
          <w:rFonts w:ascii="標楷體" w:eastAsia="標楷體" w:hAnsi="標楷體"/>
        </w:rPr>
      </w:pPr>
      <w:r w:rsidRPr="00672307">
        <w:rPr>
          <w:rFonts w:ascii="標楷體" w:eastAsia="標楷體" w:hAnsi="標楷體"/>
        </w:rPr>
        <w:t>第九條 本設置辦法經行政會議通過，呈請校長核定後實施，修正時亦同</w:t>
      </w:r>
    </w:p>
    <w:p w14:paraId="3A4A1101" w14:textId="467B16B9" w:rsidR="00672307" w:rsidRPr="00672307" w:rsidRDefault="00672307" w:rsidP="00672307">
      <w:pPr>
        <w:rPr>
          <w:rFonts w:ascii="標楷體" w:eastAsia="標楷體" w:hAnsi="標楷體"/>
        </w:rPr>
      </w:pPr>
    </w:p>
    <w:p w14:paraId="7B239C5B" w14:textId="1703E7BC" w:rsidR="00672307" w:rsidRDefault="00672307" w:rsidP="00672307">
      <w:pPr>
        <w:rPr>
          <w:rFonts w:ascii="標楷體" w:eastAsia="標楷體" w:hAnsi="標楷體"/>
        </w:rPr>
      </w:pPr>
      <w:bookmarkStart w:id="0" w:name="_GoBack"/>
      <w:bookmarkEnd w:id="0"/>
    </w:p>
    <w:sectPr w:rsidR="00672307" w:rsidSect="00672307">
      <w:pgSz w:w="11906" w:h="16838"/>
      <w:pgMar w:top="907" w:right="849"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44308" w14:textId="77777777" w:rsidR="003A466C" w:rsidRDefault="003A466C" w:rsidP="00F33813">
      <w:r>
        <w:separator/>
      </w:r>
    </w:p>
  </w:endnote>
  <w:endnote w:type="continuationSeparator" w:id="0">
    <w:p w14:paraId="49D5C346" w14:textId="77777777" w:rsidR="003A466C" w:rsidRDefault="003A466C" w:rsidP="00F3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1978" w14:textId="77777777" w:rsidR="003A466C" w:rsidRDefault="003A466C" w:rsidP="00F33813">
      <w:r>
        <w:separator/>
      </w:r>
    </w:p>
  </w:footnote>
  <w:footnote w:type="continuationSeparator" w:id="0">
    <w:p w14:paraId="38C41195" w14:textId="77777777" w:rsidR="003A466C" w:rsidRDefault="003A466C" w:rsidP="00F33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424A"/>
    <w:multiLevelType w:val="hybridMultilevel"/>
    <w:tmpl w:val="573AACDE"/>
    <w:lvl w:ilvl="0" w:tplc="C1C2A068">
      <w:start w:val="1"/>
      <w:numFmt w:val="taiwaneseCountingThousand"/>
      <w:lvlText w:val="第%1條"/>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07"/>
    <w:rsid w:val="001A7054"/>
    <w:rsid w:val="002607EE"/>
    <w:rsid w:val="00294BC1"/>
    <w:rsid w:val="003A466C"/>
    <w:rsid w:val="004B16E9"/>
    <w:rsid w:val="006001A3"/>
    <w:rsid w:val="00672307"/>
    <w:rsid w:val="006A021D"/>
    <w:rsid w:val="0076522A"/>
    <w:rsid w:val="007E2FA3"/>
    <w:rsid w:val="008016E7"/>
    <w:rsid w:val="008163C2"/>
    <w:rsid w:val="008418C0"/>
    <w:rsid w:val="00906B4B"/>
    <w:rsid w:val="0092764D"/>
    <w:rsid w:val="00981C19"/>
    <w:rsid w:val="009D6C53"/>
    <w:rsid w:val="00A23800"/>
    <w:rsid w:val="00A50358"/>
    <w:rsid w:val="00B14766"/>
    <w:rsid w:val="00B47A45"/>
    <w:rsid w:val="00B970B4"/>
    <w:rsid w:val="00C257C0"/>
    <w:rsid w:val="00CF5033"/>
    <w:rsid w:val="00DC1D63"/>
    <w:rsid w:val="00F33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9B04C"/>
  <w15:chartTrackingRefBased/>
  <w15:docId w15:val="{3085CFDC-0192-4393-936C-80604C87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4B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List Paragraph"/>
    <w:basedOn w:val="a"/>
    <w:uiPriority w:val="34"/>
    <w:qFormat/>
    <w:rsid w:val="00CF5033"/>
    <w:pPr>
      <w:ind w:leftChars="200" w:left="480"/>
    </w:pPr>
  </w:style>
  <w:style w:type="table" w:styleId="a4">
    <w:name w:val="Table Grid"/>
    <w:basedOn w:val="a1"/>
    <w:uiPriority w:val="39"/>
    <w:rsid w:val="00906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3813"/>
    <w:pPr>
      <w:tabs>
        <w:tab w:val="center" w:pos="4153"/>
        <w:tab w:val="right" w:pos="8306"/>
      </w:tabs>
      <w:snapToGrid w:val="0"/>
    </w:pPr>
    <w:rPr>
      <w:sz w:val="20"/>
      <w:szCs w:val="20"/>
    </w:rPr>
  </w:style>
  <w:style w:type="character" w:customStyle="1" w:styleId="a6">
    <w:name w:val="頁首 字元"/>
    <w:basedOn w:val="a0"/>
    <w:link w:val="a5"/>
    <w:uiPriority w:val="99"/>
    <w:rsid w:val="00F33813"/>
    <w:rPr>
      <w:sz w:val="20"/>
      <w:szCs w:val="20"/>
    </w:rPr>
  </w:style>
  <w:style w:type="paragraph" w:styleId="a7">
    <w:name w:val="footer"/>
    <w:basedOn w:val="a"/>
    <w:link w:val="a8"/>
    <w:uiPriority w:val="99"/>
    <w:unhideWhenUsed/>
    <w:rsid w:val="00F33813"/>
    <w:pPr>
      <w:tabs>
        <w:tab w:val="center" w:pos="4153"/>
        <w:tab w:val="right" w:pos="8306"/>
      </w:tabs>
      <w:snapToGrid w:val="0"/>
    </w:pPr>
    <w:rPr>
      <w:sz w:val="20"/>
      <w:szCs w:val="20"/>
    </w:rPr>
  </w:style>
  <w:style w:type="character" w:customStyle="1" w:styleId="a8">
    <w:name w:val="頁尾 字元"/>
    <w:basedOn w:val="a0"/>
    <w:link w:val="a7"/>
    <w:uiPriority w:val="99"/>
    <w:rsid w:val="00F33813"/>
    <w:rPr>
      <w:sz w:val="20"/>
      <w:szCs w:val="20"/>
    </w:rPr>
  </w:style>
  <w:style w:type="character" w:styleId="a9">
    <w:name w:val="Hyperlink"/>
    <w:basedOn w:val="a0"/>
    <w:uiPriority w:val="99"/>
    <w:semiHidden/>
    <w:unhideWhenUsed/>
    <w:rsid w:val="00801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2024-02-22T02:37:00Z</dcterms:created>
  <dcterms:modified xsi:type="dcterms:W3CDTF">2024-02-22T02:38:00Z</dcterms:modified>
</cp:coreProperties>
</file>