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DF" w:rsidRDefault="00B33AA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D45CE8" w:rsidRDefault="00D45CE8" w:rsidP="00BC7C82">
      <w:pPr>
        <w:autoSpaceDE w:val="0"/>
        <w:autoSpaceDN w:val="0"/>
        <w:adjustRightInd w:val="0"/>
        <w:rPr>
          <w:rFonts w:eastAsia="標楷體"/>
          <w:sz w:val="32"/>
        </w:rPr>
      </w:pPr>
      <w:r w:rsidRPr="009052C5"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     </w:t>
      </w:r>
      <w:r w:rsidR="00BA309F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32"/>
        </w:rPr>
        <w:t>國立澎湖科技大學投資收入收支管理要點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94.2.24</w:t>
      </w:r>
      <w:r>
        <w:rPr>
          <w:rFonts w:eastAsia="標楷體" w:hint="eastAsia"/>
          <w:color w:val="auto"/>
          <w:sz w:val="20"/>
          <w:szCs w:val="20"/>
        </w:rPr>
        <w:t>九十三學年度第二學期第一次行政會議通過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94.3.10</w:t>
      </w:r>
      <w:r>
        <w:rPr>
          <w:rFonts w:eastAsia="標楷體" w:hint="eastAsia"/>
          <w:color w:val="auto"/>
          <w:sz w:val="20"/>
          <w:szCs w:val="20"/>
        </w:rPr>
        <w:t>九十三學年度第二學期第一次校務基金管理委員會通過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94.9.15</w:t>
      </w:r>
      <w:r>
        <w:rPr>
          <w:rFonts w:eastAsia="標楷體" w:hint="eastAsia"/>
          <w:color w:val="auto"/>
          <w:sz w:val="20"/>
          <w:szCs w:val="20"/>
        </w:rPr>
        <w:t>九十四學年度第一學期第二次行政會議修正通過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94.12.14</w:t>
      </w:r>
      <w:r>
        <w:rPr>
          <w:rFonts w:eastAsia="標楷體" w:hint="eastAsia"/>
          <w:color w:val="auto"/>
          <w:sz w:val="20"/>
          <w:szCs w:val="20"/>
        </w:rPr>
        <w:t>九十四學年度第一學期第一次校務基金管理委員會修正通過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95.10.25</w:t>
      </w:r>
      <w:r>
        <w:rPr>
          <w:rFonts w:eastAsia="標楷體" w:hint="eastAsia"/>
          <w:color w:val="auto"/>
          <w:sz w:val="20"/>
          <w:szCs w:val="20"/>
        </w:rPr>
        <w:t>九十五學年度第一學期第一次校務基金管理委員會修正通過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 xml:space="preserve">   97.10.16</w:t>
      </w:r>
      <w:r>
        <w:rPr>
          <w:rFonts w:eastAsia="標楷體" w:hint="eastAsia"/>
          <w:color w:val="auto"/>
          <w:sz w:val="20"/>
          <w:szCs w:val="20"/>
        </w:rPr>
        <w:t>九十七學年度第一學期第二次行政會議修正通過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97.10.22</w:t>
      </w:r>
      <w:r>
        <w:rPr>
          <w:rFonts w:eastAsia="標楷體" w:hint="eastAsia"/>
          <w:color w:val="auto"/>
          <w:sz w:val="20"/>
          <w:szCs w:val="20"/>
        </w:rPr>
        <w:t>九十七學年度第一學期第一次校務基金管理委員會修正通過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97.12.18</w:t>
      </w:r>
      <w:proofErr w:type="gramStart"/>
      <w:r>
        <w:rPr>
          <w:rFonts w:eastAsia="標楷體" w:hint="eastAsia"/>
          <w:color w:val="auto"/>
          <w:sz w:val="20"/>
          <w:szCs w:val="20"/>
        </w:rPr>
        <w:t>教育部台技</w:t>
      </w:r>
      <w:proofErr w:type="gramEnd"/>
      <w:r>
        <w:rPr>
          <w:rFonts w:eastAsia="標楷體"/>
          <w:color w:val="auto"/>
          <w:sz w:val="20"/>
          <w:szCs w:val="20"/>
        </w:rPr>
        <w:t>(</w:t>
      </w:r>
      <w:r>
        <w:rPr>
          <w:rFonts w:eastAsia="標楷體" w:hint="eastAsia"/>
          <w:color w:val="auto"/>
          <w:sz w:val="20"/>
          <w:szCs w:val="20"/>
        </w:rPr>
        <w:t>二</w:t>
      </w:r>
      <w:r>
        <w:rPr>
          <w:rFonts w:eastAsia="標楷體"/>
          <w:color w:val="auto"/>
          <w:sz w:val="20"/>
          <w:szCs w:val="20"/>
        </w:rPr>
        <w:t>)</w:t>
      </w:r>
      <w:r>
        <w:rPr>
          <w:rFonts w:eastAsia="標楷體" w:hint="eastAsia"/>
          <w:color w:val="auto"/>
          <w:sz w:val="20"/>
          <w:szCs w:val="20"/>
        </w:rPr>
        <w:t>字</w:t>
      </w:r>
      <w:r>
        <w:rPr>
          <w:rFonts w:eastAsia="標楷體"/>
          <w:color w:val="auto"/>
          <w:sz w:val="20"/>
          <w:szCs w:val="20"/>
        </w:rPr>
        <w:t xml:space="preserve">0970250696 </w:t>
      </w:r>
      <w:r>
        <w:rPr>
          <w:rFonts w:eastAsia="標楷體" w:hint="eastAsia"/>
          <w:color w:val="auto"/>
          <w:sz w:val="20"/>
          <w:szCs w:val="20"/>
        </w:rPr>
        <w:t>號函同意備查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98.9.17</w:t>
      </w:r>
      <w:r>
        <w:rPr>
          <w:rFonts w:eastAsia="標楷體" w:hint="eastAsia"/>
          <w:color w:val="auto"/>
          <w:sz w:val="20"/>
          <w:szCs w:val="20"/>
        </w:rPr>
        <w:t>九十八學年度第一學期第二次行政會議修正通過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98.12.9</w:t>
      </w:r>
      <w:r>
        <w:rPr>
          <w:rFonts w:eastAsia="標楷體" w:hint="eastAsia"/>
          <w:color w:val="auto"/>
          <w:sz w:val="20"/>
          <w:szCs w:val="20"/>
        </w:rPr>
        <w:t>九十八學年度第一學期第一次校務基金管理委員會修正通過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99.1.14</w:t>
      </w:r>
      <w:r>
        <w:rPr>
          <w:rFonts w:eastAsia="標楷體" w:hint="eastAsia"/>
          <w:color w:val="auto"/>
          <w:sz w:val="20"/>
          <w:szCs w:val="20"/>
        </w:rPr>
        <w:t>九十八學年度第一學期第六次行政會議修正通過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99.1.15</w:t>
      </w:r>
      <w:r>
        <w:rPr>
          <w:rFonts w:eastAsia="標楷體" w:hint="eastAsia"/>
          <w:color w:val="auto"/>
          <w:sz w:val="20"/>
          <w:szCs w:val="20"/>
        </w:rPr>
        <w:t>九十八學年度第一學期第二次校務基金管理委員會修正通過</w:t>
      </w:r>
    </w:p>
    <w:p w:rsidR="00D45CE8" w:rsidRDefault="00D45CE8" w:rsidP="00D45CE8">
      <w:pPr>
        <w:pStyle w:val="2"/>
        <w:wordWrap w:val="0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/>
          <w:color w:val="auto"/>
          <w:sz w:val="20"/>
          <w:szCs w:val="20"/>
        </w:rPr>
        <w:t>100.1.25</w:t>
      </w:r>
      <w:r>
        <w:rPr>
          <w:rFonts w:eastAsia="標楷體" w:hint="eastAsia"/>
          <w:color w:val="auto"/>
          <w:sz w:val="20"/>
          <w:szCs w:val="20"/>
        </w:rPr>
        <w:t>教育部</w:t>
      </w:r>
      <w:proofErr w:type="gramStart"/>
      <w:r>
        <w:rPr>
          <w:rFonts w:eastAsia="標楷體" w:hint="eastAsia"/>
          <w:color w:val="auto"/>
          <w:sz w:val="20"/>
          <w:szCs w:val="20"/>
        </w:rPr>
        <w:t>臺</w:t>
      </w:r>
      <w:proofErr w:type="gramEnd"/>
      <w:r>
        <w:rPr>
          <w:rFonts w:eastAsia="標楷體" w:hint="eastAsia"/>
          <w:color w:val="auto"/>
          <w:sz w:val="20"/>
          <w:szCs w:val="20"/>
        </w:rPr>
        <w:t>技</w:t>
      </w:r>
      <w:r>
        <w:rPr>
          <w:rFonts w:eastAsia="標楷體"/>
          <w:color w:val="auto"/>
          <w:sz w:val="20"/>
          <w:szCs w:val="20"/>
        </w:rPr>
        <w:t>(</w:t>
      </w:r>
      <w:r>
        <w:rPr>
          <w:rFonts w:eastAsia="標楷體" w:hint="eastAsia"/>
          <w:color w:val="auto"/>
          <w:sz w:val="20"/>
          <w:szCs w:val="20"/>
        </w:rPr>
        <w:t>二</w:t>
      </w:r>
      <w:r>
        <w:rPr>
          <w:rFonts w:eastAsia="標楷體"/>
          <w:color w:val="auto"/>
          <w:sz w:val="20"/>
          <w:szCs w:val="20"/>
        </w:rPr>
        <w:t>)</w:t>
      </w:r>
      <w:r>
        <w:rPr>
          <w:rFonts w:eastAsia="標楷體" w:hint="eastAsia"/>
          <w:color w:val="auto"/>
          <w:sz w:val="20"/>
          <w:szCs w:val="20"/>
        </w:rPr>
        <w:t>字</w:t>
      </w:r>
      <w:r>
        <w:rPr>
          <w:rFonts w:eastAsia="標楷體"/>
          <w:color w:val="auto"/>
          <w:sz w:val="20"/>
          <w:szCs w:val="20"/>
        </w:rPr>
        <w:t xml:space="preserve">1000014268 </w:t>
      </w:r>
      <w:r>
        <w:rPr>
          <w:rFonts w:eastAsia="標楷體" w:hint="eastAsia"/>
          <w:color w:val="auto"/>
          <w:sz w:val="20"/>
          <w:szCs w:val="20"/>
        </w:rPr>
        <w:t>號函同意備查</w:t>
      </w:r>
    </w:p>
    <w:p w:rsidR="00D45CE8" w:rsidRPr="00EA2F07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 w:rsidRPr="00EA2F07">
        <w:rPr>
          <w:rFonts w:eastAsia="標楷體"/>
          <w:color w:val="auto"/>
          <w:sz w:val="20"/>
          <w:szCs w:val="20"/>
        </w:rPr>
        <w:t>111.01.12</w:t>
      </w:r>
      <w:proofErr w:type="gramStart"/>
      <w:r w:rsidRPr="00EA2F07">
        <w:rPr>
          <w:rFonts w:eastAsia="標楷體" w:hint="eastAsia"/>
          <w:color w:val="auto"/>
          <w:sz w:val="20"/>
          <w:szCs w:val="20"/>
        </w:rPr>
        <w:t>一一</w:t>
      </w:r>
      <w:proofErr w:type="gramEnd"/>
      <w:r w:rsidRPr="00EA2F07">
        <w:rPr>
          <w:rFonts w:ascii="微軟正黑體" w:eastAsia="微軟正黑體" w:hAnsi="微軟正黑體" w:cs="微軟正黑體" w:hint="eastAsia"/>
          <w:color w:val="auto"/>
          <w:sz w:val="16"/>
          <w:szCs w:val="16"/>
          <w:shd w:val="clear" w:color="auto" w:fill="FFFFFF"/>
        </w:rPr>
        <w:t>〇</w:t>
      </w:r>
      <w:r w:rsidRPr="00EA2F07">
        <w:rPr>
          <w:rFonts w:eastAsia="標楷體" w:hint="eastAsia"/>
          <w:color w:val="auto"/>
          <w:sz w:val="20"/>
          <w:szCs w:val="20"/>
        </w:rPr>
        <w:t>學年度第一學期第六次行政會議修正通過</w:t>
      </w:r>
    </w:p>
    <w:p w:rsidR="00D45CE8" w:rsidRDefault="00D45CE8" w:rsidP="00D45CE8">
      <w:pPr>
        <w:pStyle w:val="2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 w:rsidRPr="00812995">
        <w:rPr>
          <w:rFonts w:eastAsia="標楷體"/>
          <w:color w:val="auto"/>
          <w:sz w:val="20"/>
          <w:szCs w:val="20"/>
        </w:rPr>
        <w:t>111.0</w:t>
      </w:r>
      <w:r w:rsidRPr="00812995">
        <w:rPr>
          <w:rFonts w:eastAsia="標楷體" w:hint="eastAsia"/>
          <w:color w:val="auto"/>
          <w:sz w:val="20"/>
          <w:szCs w:val="20"/>
        </w:rPr>
        <w:t>3</w:t>
      </w:r>
      <w:r w:rsidRPr="00812995">
        <w:rPr>
          <w:rFonts w:eastAsia="標楷體"/>
          <w:color w:val="auto"/>
          <w:sz w:val="20"/>
          <w:szCs w:val="20"/>
        </w:rPr>
        <w:t>.</w:t>
      </w:r>
      <w:r w:rsidRPr="00812995">
        <w:rPr>
          <w:rFonts w:eastAsia="標楷體" w:hint="eastAsia"/>
          <w:color w:val="auto"/>
          <w:sz w:val="20"/>
          <w:szCs w:val="20"/>
        </w:rPr>
        <w:t>23</w:t>
      </w:r>
      <w:proofErr w:type="gramStart"/>
      <w:r w:rsidRPr="00812995">
        <w:rPr>
          <w:rFonts w:eastAsia="標楷體" w:hint="eastAsia"/>
          <w:color w:val="auto"/>
          <w:sz w:val="20"/>
          <w:szCs w:val="20"/>
        </w:rPr>
        <w:t>一一</w:t>
      </w:r>
      <w:proofErr w:type="gramEnd"/>
      <w:r w:rsidRPr="00812995">
        <w:rPr>
          <w:rFonts w:ascii="微軟正黑體" w:eastAsia="微軟正黑體" w:hAnsi="微軟正黑體" w:cs="微軟正黑體" w:hint="eastAsia"/>
          <w:color w:val="auto"/>
          <w:sz w:val="16"/>
          <w:szCs w:val="16"/>
          <w:shd w:val="clear" w:color="auto" w:fill="FFFFFF"/>
        </w:rPr>
        <w:t>〇</w:t>
      </w:r>
      <w:r w:rsidRPr="00812995">
        <w:rPr>
          <w:rFonts w:eastAsia="標楷體" w:hint="eastAsia"/>
          <w:color w:val="auto"/>
          <w:sz w:val="20"/>
          <w:szCs w:val="20"/>
        </w:rPr>
        <w:t>學年度第二學期第一次校務基金管理委員會審議通過</w:t>
      </w:r>
    </w:p>
    <w:p w:rsidR="00BC7C82" w:rsidRPr="00314A10" w:rsidRDefault="00314A10" w:rsidP="00BC7C82">
      <w:pPr>
        <w:pStyle w:val="2"/>
        <w:wordWrap w:val="0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 w:hint="eastAsia"/>
          <w:color w:val="auto"/>
          <w:sz w:val="20"/>
          <w:szCs w:val="20"/>
        </w:rPr>
        <w:t xml:space="preserve">       </w:t>
      </w:r>
      <w:r w:rsidR="00D45CE8" w:rsidRPr="0094385D">
        <w:rPr>
          <w:rFonts w:eastAsia="標楷體"/>
          <w:color w:val="auto"/>
          <w:sz w:val="20"/>
          <w:szCs w:val="20"/>
        </w:rPr>
        <w:t>11</w:t>
      </w:r>
      <w:r w:rsidR="00D45CE8" w:rsidRPr="0094385D">
        <w:rPr>
          <w:rFonts w:eastAsia="標楷體" w:hint="eastAsia"/>
          <w:color w:val="auto"/>
          <w:sz w:val="20"/>
          <w:szCs w:val="20"/>
        </w:rPr>
        <w:t>2</w:t>
      </w:r>
      <w:r w:rsidR="00D45CE8" w:rsidRPr="0094385D">
        <w:rPr>
          <w:rFonts w:eastAsia="標楷體"/>
          <w:color w:val="auto"/>
          <w:sz w:val="20"/>
          <w:szCs w:val="20"/>
        </w:rPr>
        <w:t>.0</w:t>
      </w:r>
      <w:r w:rsidR="00D45CE8" w:rsidRPr="0094385D">
        <w:rPr>
          <w:rFonts w:eastAsia="標楷體" w:hint="eastAsia"/>
          <w:color w:val="auto"/>
          <w:sz w:val="20"/>
          <w:szCs w:val="20"/>
        </w:rPr>
        <w:t>3</w:t>
      </w:r>
      <w:r w:rsidR="00D45CE8" w:rsidRPr="0094385D">
        <w:rPr>
          <w:rFonts w:eastAsia="標楷體"/>
          <w:color w:val="auto"/>
          <w:sz w:val="20"/>
          <w:szCs w:val="20"/>
        </w:rPr>
        <w:t>.</w:t>
      </w:r>
      <w:r w:rsidR="00D45CE8" w:rsidRPr="0094385D">
        <w:rPr>
          <w:rFonts w:eastAsia="標楷體" w:hint="eastAsia"/>
          <w:color w:val="auto"/>
          <w:sz w:val="20"/>
          <w:szCs w:val="20"/>
        </w:rPr>
        <w:t>14</w:t>
      </w:r>
      <w:r w:rsidR="00D45CE8" w:rsidRPr="0094385D">
        <w:rPr>
          <w:rFonts w:eastAsia="標楷體" w:hint="eastAsia"/>
          <w:color w:val="auto"/>
          <w:sz w:val="20"/>
          <w:szCs w:val="20"/>
        </w:rPr>
        <w:t>一一一學年度第二學期第二次行政會議修正</w:t>
      </w:r>
      <w:r w:rsidR="0094385D" w:rsidRPr="0094385D">
        <w:rPr>
          <w:rFonts w:eastAsia="標楷體" w:hint="eastAsia"/>
          <w:color w:val="auto"/>
          <w:sz w:val="20"/>
          <w:szCs w:val="20"/>
        </w:rPr>
        <w:t>通</w:t>
      </w:r>
      <w:r w:rsidR="0094385D" w:rsidRPr="00812995">
        <w:rPr>
          <w:rFonts w:eastAsia="標楷體" w:hint="eastAsia"/>
          <w:color w:val="auto"/>
          <w:sz w:val="20"/>
          <w:szCs w:val="20"/>
        </w:rPr>
        <w:t>過</w:t>
      </w:r>
    </w:p>
    <w:p w:rsidR="00D45CE8" w:rsidRPr="00BC7C82" w:rsidRDefault="00BC7C82" w:rsidP="00BC7C82">
      <w:pPr>
        <w:pStyle w:val="2"/>
        <w:wordWrap w:val="0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</w:t>
      </w:r>
      <w:r w:rsidR="00D45CE8" w:rsidRPr="00BC7C82">
        <w:rPr>
          <w:rFonts w:eastAsia="標楷體"/>
          <w:color w:val="auto"/>
          <w:sz w:val="20"/>
          <w:szCs w:val="20"/>
        </w:rPr>
        <w:t>11</w:t>
      </w:r>
      <w:r w:rsidR="00D45CE8" w:rsidRPr="00BC7C82">
        <w:rPr>
          <w:rFonts w:eastAsia="標楷體" w:hint="eastAsia"/>
          <w:color w:val="auto"/>
          <w:sz w:val="20"/>
          <w:szCs w:val="20"/>
        </w:rPr>
        <w:t>2</w:t>
      </w:r>
      <w:r w:rsidR="00D45CE8" w:rsidRPr="00BC7C82">
        <w:rPr>
          <w:rFonts w:eastAsia="標楷體"/>
          <w:color w:val="auto"/>
          <w:sz w:val="20"/>
          <w:szCs w:val="20"/>
        </w:rPr>
        <w:t>.0</w:t>
      </w:r>
      <w:r w:rsidR="00D45CE8" w:rsidRPr="00BC7C82">
        <w:rPr>
          <w:rFonts w:eastAsia="標楷體" w:hint="eastAsia"/>
          <w:color w:val="auto"/>
          <w:sz w:val="20"/>
          <w:szCs w:val="20"/>
        </w:rPr>
        <w:t>3</w:t>
      </w:r>
      <w:r w:rsidR="00D45CE8" w:rsidRPr="00BC7C82">
        <w:rPr>
          <w:rFonts w:eastAsia="標楷體"/>
          <w:color w:val="auto"/>
          <w:sz w:val="20"/>
          <w:szCs w:val="20"/>
        </w:rPr>
        <w:t>.</w:t>
      </w:r>
      <w:r w:rsidR="00D45CE8" w:rsidRPr="00BC7C82">
        <w:rPr>
          <w:rFonts w:eastAsia="標楷體" w:hint="eastAsia"/>
          <w:color w:val="auto"/>
          <w:sz w:val="20"/>
          <w:szCs w:val="20"/>
        </w:rPr>
        <w:t>22</w:t>
      </w:r>
      <w:r w:rsidR="00D45CE8" w:rsidRPr="00BC7C82">
        <w:rPr>
          <w:rFonts w:eastAsia="標楷體" w:hint="eastAsia"/>
          <w:color w:val="auto"/>
          <w:sz w:val="20"/>
          <w:szCs w:val="20"/>
        </w:rPr>
        <w:t>一一一學年度第二學期第一次校務基金管理委員會審議</w:t>
      </w:r>
      <w:r w:rsidRPr="00BC7C82">
        <w:rPr>
          <w:rFonts w:eastAsia="標楷體" w:hint="eastAsia"/>
          <w:color w:val="auto"/>
          <w:sz w:val="20"/>
          <w:szCs w:val="20"/>
        </w:rPr>
        <w:t>通過</w:t>
      </w:r>
    </w:p>
    <w:p w:rsidR="00D45CE8" w:rsidRPr="00812995" w:rsidRDefault="00D45CE8" w:rsidP="00BC7C82">
      <w:pPr>
        <w:pStyle w:val="2"/>
        <w:wordWrap w:val="0"/>
        <w:adjustRightInd w:val="0"/>
        <w:snapToGrid w:val="0"/>
        <w:spacing w:before="0" w:beforeAutospacing="0" w:after="0" w:afterAutospacing="0" w:line="220" w:lineRule="exact"/>
        <w:jc w:val="right"/>
        <w:rPr>
          <w:rFonts w:eastAsia="標楷體" w:hint="eastAsia"/>
          <w:color w:val="auto"/>
          <w:sz w:val="20"/>
          <w:szCs w:val="20"/>
        </w:rPr>
      </w:pPr>
    </w:p>
    <w:p w:rsidR="00D45CE8" w:rsidRPr="00812995" w:rsidRDefault="00D45CE8" w:rsidP="00D45CE8">
      <w:pPr>
        <w:pStyle w:val="Web"/>
        <w:numPr>
          <w:ilvl w:val="0"/>
          <w:numId w:val="10"/>
        </w:numPr>
        <w:tabs>
          <w:tab w:val="clear" w:pos="570"/>
          <w:tab w:val="num" w:pos="712"/>
        </w:tabs>
        <w:adjustRightInd w:val="0"/>
        <w:snapToGrid w:val="0"/>
        <w:spacing w:before="0" w:beforeAutospacing="0" w:after="0" w:afterAutospacing="0" w:line="440" w:lineRule="exact"/>
        <w:ind w:left="712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本校為使各項投資收入之收支合乎管理規定，特依據「國立大學校院校務基金設置條例」、「國立大學校院校務基金管理及監督辦法」規定訂定本要點。</w:t>
      </w:r>
      <w:r w:rsidRPr="00812995">
        <w:rPr>
          <w:rFonts w:ascii="標楷體" w:eastAsia="標楷體" w:hAnsi="標楷體" w:hint="eastAsia"/>
        </w:rPr>
        <w:t>（以下簡稱本要點）</w:t>
      </w:r>
    </w:p>
    <w:p w:rsidR="00D45CE8" w:rsidRPr="00812995" w:rsidRDefault="00D45CE8" w:rsidP="00D45CE8">
      <w:pPr>
        <w:pStyle w:val="Web"/>
        <w:numPr>
          <w:ilvl w:val="0"/>
          <w:numId w:val="10"/>
        </w:numPr>
        <w:tabs>
          <w:tab w:val="clear" w:pos="570"/>
          <w:tab w:val="num" w:pos="712"/>
        </w:tabs>
        <w:adjustRightInd w:val="0"/>
        <w:snapToGrid w:val="0"/>
        <w:spacing w:before="0" w:beforeAutospacing="0" w:after="0" w:afterAutospacing="0" w:line="440" w:lineRule="exact"/>
        <w:ind w:left="96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本校投資收入之收支管理，除法令另有規定外，悉依本要點之規定辦理。</w:t>
      </w:r>
    </w:p>
    <w:p w:rsidR="00D45CE8" w:rsidRPr="00812995" w:rsidRDefault="00D45CE8" w:rsidP="00D45CE8">
      <w:pPr>
        <w:widowControl/>
        <w:numPr>
          <w:ilvl w:val="0"/>
          <w:numId w:val="10"/>
        </w:numPr>
        <w:tabs>
          <w:tab w:val="clear" w:pos="570"/>
          <w:tab w:val="num" w:pos="712"/>
        </w:tabs>
        <w:adjustRightInd w:val="0"/>
        <w:snapToGrid w:val="0"/>
        <w:spacing w:line="440" w:lineRule="exact"/>
        <w:ind w:left="712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校務基金之投資方式應以長期穩定有收益、低風險為原則，可投資項目如下：</w:t>
      </w:r>
    </w:p>
    <w:p w:rsidR="00D45CE8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firstLineChars="200" w:firstLine="560"/>
        <w:rPr>
          <w:rFonts w:ascii="標楷體" w:eastAsia="標楷體" w:hAnsi="標楷體"/>
        </w:rPr>
      </w:pPr>
      <w:r w:rsidRPr="00812995">
        <w:rPr>
          <w:rFonts w:ascii="標楷體" w:eastAsia="標楷體" w:hAnsi="標楷體" w:hint="eastAsia"/>
          <w:sz w:val="28"/>
          <w:szCs w:val="28"/>
        </w:rPr>
        <w:t>（一）</w:t>
      </w:r>
      <w:r w:rsidRPr="001D4206">
        <w:rPr>
          <w:rFonts w:ascii="標楷體" w:eastAsia="標楷體" w:hAnsi="標楷體"/>
        </w:rPr>
        <w:t>存放公民營金融機構</w:t>
      </w:r>
      <w:r w:rsidRPr="001D4206">
        <w:rPr>
          <w:rFonts w:ascii="標楷體" w:eastAsia="標楷體" w:hAnsi="標楷體" w:hint="eastAsia"/>
        </w:rPr>
        <w:t>之</w:t>
      </w:r>
      <w:r w:rsidRPr="00BC7C82">
        <w:rPr>
          <w:rFonts w:ascii="標楷體" w:eastAsia="標楷體" w:hAnsi="標楷體" w:hint="eastAsia"/>
        </w:rPr>
        <w:t>孳息及購買公債利息收入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（二）購買</w:t>
      </w:r>
      <w:r w:rsidRPr="00812995">
        <w:rPr>
          <w:rFonts w:ascii="標楷體" w:eastAsia="標楷體" w:hAnsi="標楷體" w:cs="Times New Roman" w:hint="eastAsia"/>
          <w:sz w:val="28"/>
          <w:szCs w:val="28"/>
        </w:rPr>
        <w:t>債券、股票、基金</w:t>
      </w:r>
      <w:r w:rsidRPr="00812995">
        <w:rPr>
          <w:rFonts w:ascii="標楷體" w:eastAsia="標楷體" w:hAnsi="標楷體" w:hint="eastAsia"/>
          <w:sz w:val="28"/>
          <w:szCs w:val="28"/>
        </w:rPr>
        <w:t>或其他短期票</w:t>
      </w:r>
      <w:proofErr w:type="gramStart"/>
      <w:r w:rsidRPr="00812995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 w:rsidRPr="00812995">
        <w:rPr>
          <w:rFonts w:ascii="標楷體" w:eastAsia="標楷體" w:hAnsi="標楷體" w:hint="eastAsia"/>
          <w:sz w:val="28"/>
          <w:szCs w:val="28"/>
        </w:rPr>
        <w:t>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（三）投資於與校務發展或研究相關之公司與企業，除以研究成果或技術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 xml:space="preserve">      作價無償取得股權者外，得以自籌收入作為投資資金來源。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（四）其他具有收益性及低風險，並有助於增進效益之投資收入。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Chars="234" w:left="1620" w:hangingChars="378" w:hanging="1058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 xml:space="preserve">      1.投資於本校教學實習與研發之相關產品(如：種苗繁殖、專利、餐飲產品、各類食品、機具設備、觀光服務…</w:t>
      </w:r>
      <w:proofErr w:type="gramStart"/>
      <w:r w:rsidRPr="00812995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812995">
        <w:rPr>
          <w:rFonts w:ascii="標楷體" w:eastAsia="標楷體" w:hAnsi="標楷體" w:hint="eastAsia"/>
          <w:sz w:val="28"/>
          <w:szCs w:val="28"/>
        </w:rPr>
        <w:t>等)。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Chars="234" w:left="1620" w:hangingChars="378" w:hanging="1058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 xml:space="preserve">      2.房地產及金融機構推出之各類理財產品。</w:t>
      </w:r>
    </w:p>
    <w:p w:rsidR="00D45CE8" w:rsidRPr="00812995" w:rsidRDefault="00D45CE8" w:rsidP="00D45CE8">
      <w:pPr>
        <w:widowControl/>
        <w:adjustRightInd w:val="0"/>
        <w:snapToGrid w:val="0"/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 xml:space="preserve"> 四、學雜費收入及其他自籌收入具有特定用途者，不得作為第三點第(三)款投</w:t>
      </w:r>
    </w:p>
    <w:p w:rsidR="00D45CE8" w:rsidRPr="00812995" w:rsidRDefault="00D45CE8" w:rsidP="00D45CE8">
      <w:pPr>
        <w:widowControl/>
        <w:adjustRightInd w:val="0"/>
        <w:snapToGrid w:val="0"/>
        <w:spacing w:line="440" w:lineRule="exact"/>
        <w:ind w:left="1120" w:hangingChars="400" w:hanging="1120"/>
        <w:rPr>
          <w:rFonts w:ascii="標楷體" w:eastAsia="標楷體" w:hAnsi="標楷體"/>
          <w:kern w:val="0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 xml:space="preserve">     資資金來源，投資第三點第(二)、(三)、(四)款者投資</w:t>
      </w:r>
      <w:r w:rsidRPr="00812995">
        <w:rPr>
          <w:rFonts w:ascii="標楷體" w:eastAsia="標楷體" w:hAnsi="標楷體" w:hint="eastAsia"/>
          <w:kern w:val="0"/>
          <w:sz w:val="28"/>
          <w:szCs w:val="28"/>
        </w:rPr>
        <w:t>之金額以學校可用</w:t>
      </w:r>
    </w:p>
    <w:p w:rsidR="00D45CE8" w:rsidRPr="00BC7C82" w:rsidRDefault="00D45CE8" w:rsidP="00D45CE8">
      <w:pPr>
        <w:widowControl/>
        <w:adjustRightInd w:val="0"/>
        <w:snapToGrid w:val="0"/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kern w:val="0"/>
          <w:sz w:val="28"/>
          <w:szCs w:val="28"/>
        </w:rPr>
        <w:t xml:space="preserve">     資金20%為上限，單一機構不得超過伍仟萬元</w:t>
      </w:r>
      <w:r w:rsidRPr="00BC7C82">
        <w:rPr>
          <w:rFonts w:ascii="標楷體" w:eastAsia="標楷體" w:hAnsi="標楷體" w:hint="eastAsia"/>
          <w:kern w:val="0"/>
          <w:sz w:val="28"/>
          <w:szCs w:val="28"/>
        </w:rPr>
        <w:t>為原則</w:t>
      </w:r>
      <w:r w:rsidRPr="00BC7C82">
        <w:rPr>
          <w:rFonts w:ascii="標楷體" w:eastAsia="標楷體" w:hAnsi="標楷體" w:hint="eastAsia"/>
          <w:sz w:val="28"/>
          <w:szCs w:val="28"/>
        </w:rPr>
        <w:t>；為求時效性，依第三</w:t>
      </w:r>
    </w:p>
    <w:p w:rsidR="00D45CE8" w:rsidRPr="00BC7C82" w:rsidRDefault="00D45CE8" w:rsidP="00D45CE8">
      <w:pPr>
        <w:widowControl/>
        <w:adjustRightInd w:val="0"/>
        <w:snapToGrid w:val="0"/>
        <w:spacing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C7C82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BC7C82">
        <w:rPr>
          <w:rFonts w:ascii="標楷體" w:eastAsia="標楷體" w:hAnsi="標楷體" w:hint="eastAsia"/>
          <w:sz w:val="28"/>
          <w:szCs w:val="28"/>
        </w:rPr>
        <w:t>點第</w:t>
      </w:r>
      <w:proofErr w:type="gramEnd"/>
      <w:r w:rsidRPr="00BC7C8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C7C8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C7C82">
        <w:rPr>
          <w:rFonts w:ascii="標楷體" w:eastAsia="標楷體" w:hAnsi="標楷體" w:hint="eastAsia"/>
          <w:sz w:val="28"/>
          <w:szCs w:val="28"/>
        </w:rPr>
        <w:t>)之投資項目，得經校長核定後辦理，並提報校務基金管理委員追認。</w:t>
      </w:r>
    </w:p>
    <w:p w:rsidR="00D45CE8" w:rsidRPr="00BC7C82" w:rsidRDefault="00D45CE8" w:rsidP="00D45CE8">
      <w:pPr>
        <w:spacing w:line="380" w:lineRule="exact"/>
        <w:rPr>
          <w:rFonts w:ascii="標楷體" w:eastAsia="標楷體" w:cs="標楷體"/>
          <w:kern w:val="0"/>
          <w:sz w:val="28"/>
          <w:szCs w:val="28"/>
        </w:rPr>
      </w:pPr>
      <w:r w:rsidRPr="00BC7C82">
        <w:rPr>
          <w:rFonts w:ascii="標楷體" w:eastAsia="標楷體" w:cs="標楷體" w:hint="eastAsia"/>
          <w:kern w:val="0"/>
          <w:sz w:val="28"/>
          <w:szCs w:val="28"/>
        </w:rPr>
        <w:t xml:space="preserve">    依本要點第三點</w:t>
      </w:r>
      <w:r w:rsidRPr="00BC7C82">
        <w:rPr>
          <w:rFonts w:ascii="標楷體" w:eastAsia="標楷體" w:hAnsi="標楷體" w:hint="eastAsia"/>
          <w:sz w:val="28"/>
          <w:szCs w:val="28"/>
        </w:rPr>
        <w:t>第(二)、(三)、(四)</w:t>
      </w:r>
      <w:r w:rsidRPr="00BC7C82">
        <w:rPr>
          <w:rFonts w:ascii="標楷體" w:eastAsia="標楷體" w:cs="標楷體" w:hint="eastAsia"/>
          <w:kern w:val="0"/>
          <w:sz w:val="28"/>
          <w:szCs w:val="28"/>
        </w:rPr>
        <w:t>所為之投資，各單一投資標的金額，其虧</w:t>
      </w:r>
    </w:p>
    <w:p w:rsidR="00D45CE8" w:rsidRPr="00BC7C82" w:rsidRDefault="00D45CE8" w:rsidP="00D45CE8">
      <w:pPr>
        <w:pStyle w:val="a3"/>
        <w:spacing w:line="380" w:lineRule="exact"/>
        <w:ind w:leftChars="0" w:left="570"/>
        <w:rPr>
          <w:rFonts w:ascii="標楷體" w:eastAsia="標楷體" w:cs="標楷體"/>
          <w:kern w:val="0"/>
          <w:sz w:val="28"/>
          <w:szCs w:val="28"/>
        </w:rPr>
      </w:pPr>
      <w:proofErr w:type="gramStart"/>
      <w:r w:rsidRPr="00BC7C82">
        <w:rPr>
          <w:rFonts w:ascii="標楷體" w:eastAsia="標楷體" w:cs="標楷體" w:hint="eastAsia"/>
          <w:kern w:val="0"/>
          <w:sz w:val="28"/>
          <w:szCs w:val="28"/>
        </w:rPr>
        <w:t>損</w:t>
      </w:r>
      <w:proofErr w:type="gramEnd"/>
      <w:r w:rsidRPr="00BC7C82">
        <w:rPr>
          <w:rFonts w:ascii="標楷體" w:eastAsia="標楷體" w:cs="標楷體" w:hint="eastAsia"/>
          <w:kern w:val="0"/>
          <w:sz w:val="28"/>
          <w:szCs w:val="28"/>
        </w:rPr>
        <w:t>額度以不超過該款投資總額之</w:t>
      </w:r>
      <w:r w:rsidRPr="00BC7C82">
        <w:rPr>
          <w:rFonts w:ascii="標楷體" w:eastAsia="標楷體" w:cs="標楷體"/>
          <w:kern w:val="0"/>
          <w:sz w:val="28"/>
          <w:szCs w:val="28"/>
        </w:rPr>
        <w:t>15%</w:t>
      </w:r>
      <w:r w:rsidRPr="00BC7C82">
        <w:rPr>
          <w:rFonts w:ascii="標楷體" w:eastAsia="標楷體" w:cs="標楷體" w:hint="eastAsia"/>
          <w:kern w:val="0"/>
          <w:sz w:val="28"/>
          <w:szCs w:val="28"/>
        </w:rPr>
        <w:t xml:space="preserve"> 為原則，超過限額時，應經評估作成適當</w:t>
      </w:r>
      <w:r w:rsidRPr="00BC7C82">
        <w:rPr>
          <w:rFonts w:ascii="標楷體" w:eastAsia="標楷體" w:cs="標楷體" w:hint="eastAsia"/>
          <w:kern w:val="0"/>
          <w:sz w:val="28"/>
          <w:szCs w:val="28"/>
        </w:rPr>
        <w:lastRenderedPageBreak/>
        <w:t>之處置。投資產生虧損時，其虧損之填補順序如下：</w:t>
      </w:r>
    </w:p>
    <w:p w:rsidR="00D45CE8" w:rsidRPr="00BC7C82" w:rsidRDefault="00D45CE8" w:rsidP="00D45CE8">
      <w:pPr>
        <w:autoSpaceDE w:val="0"/>
        <w:autoSpaceDN w:val="0"/>
        <w:adjustRightInd w:val="0"/>
        <w:spacing w:line="380" w:lineRule="exact"/>
        <w:rPr>
          <w:rFonts w:ascii="標楷體" w:eastAsia="標楷體" w:cs="標楷體"/>
          <w:kern w:val="0"/>
          <w:sz w:val="28"/>
          <w:szCs w:val="28"/>
        </w:rPr>
      </w:pPr>
      <w:r w:rsidRPr="00BC7C82"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Pr="00BC7C82">
        <w:rPr>
          <w:rFonts w:ascii="標楷體" w:eastAsia="標楷體" w:cs="標楷體"/>
          <w:kern w:val="0"/>
          <w:sz w:val="28"/>
          <w:szCs w:val="28"/>
        </w:rPr>
        <w:t>(</w:t>
      </w:r>
      <w:proofErr w:type="gramStart"/>
      <w:r w:rsidRPr="00BC7C82">
        <w:rPr>
          <w:rFonts w:ascii="標楷體" w:eastAsia="標楷體" w:cs="標楷體" w:hint="eastAsia"/>
          <w:kern w:val="0"/>
          <w:sz w:val="28"/>
          <w:szCs w:val="28"/>
        </w:rPr>
        <w:t>一</w:t>
      </w:r>
      <w:proofErr w:type="gramEnd"/>
      <w:r w:rsidRPr="00BC7C82">
        <w:rPr>
          <w:rFonts w:ascii="標楷體" w:eastAsia="標楷體" w:cs="標楷體"/>
          <w:kern w:val="0"/>
          <w:sz w:val="28"/>
          <w:szCs w:val="28"/>
        </w:rPr>
        <w:t>)</w:t>
      </w:r>
      <w:r w:rsidRPr="00BC7C82">
        <w:rPr>
          <w:rFonts w:ascii="標楷體" w:eastAsia="標楷體" w:cs="標楷體" w:hint="eastAsia"/>
          <w:kern w:val="0"/>
          <w:sz w:val="28"/>
          <w:szCs w:val="28"/>
        </w:rPr>
        <w:t>投資產生之累積收益。</w:t>
      </w:r>
    </w:p>
    <w:p w:rsidR="00D45CE8" w:rsidRPr="00BC7C82" w:rsidRDefault="00D45CE8" w:rsidP="00D45CE8">
      <w:pPr>
        <w:autoSpaceDE w:val="0"/>
        <w:autoSpaceDN w:val="0"/>
        <w:adjustRightInd w:val="0"/>
        <w:spacing w:line="380" w:lineRule="exact"/>
        <w:rPr>
          <w:rFonts w:ascii="標楷體" w:eastAsia="標楷體" w:cs="標楷體"/>
          <w:kern w:val="0"/>
          <w:sz w:val="28"/>
          <w:szCs w:val="28"/>
        </w:rPr>
      </w:pPr>
      <w:r w:rsidRPr="00BC7C82">
        <w:rPr>
          <w:rFonts w:ascii="標楷體" w:eastAsia="標楷體" w:cs="標楷體" w:hint="eastAsia"/>
          <w:kern w:val="0"/>
          <w:sz w:val="28"/>
          <w:szCs w:val="28"/>
        </w:rPr>
        <w:t xml:space="preserve">     </w:t>
      </w:r>
      <w:r w:rsidRPr="00BC7C82">
        <w:rPr>
          <w:rFonts w:ascii="標楷體" w:eastAsia="標楷體" w:cs="標楷體"/>
          <w:kern w:val="0"/>
          <w:sz w:val="28"/>
          <w:szCs w:val="28"/>
        </w:rPr>
        <w:t>(</w:t>
      </w:r>
      <w:r w:rsidRPr="00BC7C82">
        <w:rPr>
          <w:rFonts w:ascii="標楷體" w:eastAsia="標楷體" w:cs="標楷體" w:hint="eastAsia"/>
          <w:kern w:val="0"/>
          <w:sz w:val="28"/>
          <w:szCs w:val="28"/>
        </w:rPr>
        <w:t>二</w:t>
      </w:r>
      <w:r w:rsidRPr="00BC7C82">
        <w:rPr>
          <w:rFonts w:ascii="標楷體" w:eastAsia="標楷體" w:cs="標楷體"/>
          <w:kern w:val="0"/>
          <w:sz w:val="28"/>
          <w:szCs w:val="28"/>
        </w:rPr>
        <w:t>)</w:t>
      </w:r>
      <w:r w:rsidRPr="00BC7C82">
        <w:rPr>
          <w:rFonts w:ascii="標楷體" w:eastAsia="標楷體" w:cs="標楷體" w:hint="eastAsia"/>
          <w:kern w:val="0"/>
          <w:sz w:val="28"/>
          <w:szCs w:val="28"/>
        </w:rPr>
        <w:t>各項自籌收入歷年累積之盈餘。</w:t>
      </w:r>
    </w:p>
    <w:p w:rsidR="00D45CE8" w:rsidRPr="00BC7C82" w:rsidRDefault="00D45CE8" w:rsidP="00D45CE8">
      <w:pPr>
        <w:widowControl/>
        <w:adjustRightInd w:val="0"/>
        <w:snapToGrid w:val="0"/>
        <w:spacing w:line="380" w:lineRule="exact"/>
        <w:ind w:left="1120" w:hangingChars="400" w:hanging="1120"/>
        <w:rPr>
          <w:rFonts w:ascii="標楷體" w:eastAsia="標楷體" w:cs="標楷體"/>
          <w:kern w:val="0"/>
          <w:sz w:val="28"/>
          <w:szCs w:val="28"/>
        </w:rPr>
      </w:pPr>
      <w:r w:rsidRPr="00BC7C82">
        <w:rPr>
          <w:rFonts w:ascii="標楷體" w:eastAsia="標楷體" w:cs="標楷體" w:hint="eastAsia"/>
          <w:kern w:val="0"/>
          <w:sz w:val="28"/>
          <w:szCs w:val="28"/>
        </w:rPr>
        <w:t xml:space="preserve">     辦理投資業務之各相關人員，對於非因故意、重大過失或舞弊情形所造成之損</w:t>
      </w:r>
    </w:p>
    <w:p w:rsidR="00D45CE8" w:rsidRPr="00BC7C82" w:rsidRDefault="00D45CE8" w:rsidP="00D45CE8">
      <w:pPr>
        <w:widowControl/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BC7C82">
        <w:rPr>
          <w:rFonts w:ascii="標楷體" w:eastAsia="標楷體" w:cs="標楷體" w:hint="eastAsia"/>
          <w:kern w:val="0"/>
          <w:sz w:val="28"/>
          <w:szCs w:val="28"/>
        </w:rPr>
        <w:t xml:space="preserve">     失，免除全部之損害賠償責任，並免予行政之處置。</w:t>
      </w:r>
    </w:p>
    <w:p w:rsidR="00D45CE8" w:rsidRPr="00BC7C82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BC7C82">
        <w:rPr>
          <w:rFonts w:ascii="標楷體" w:eastAsia="標楷體" w:hAnsi="標楷體" w:hint="eastAsia"/>
          <w:sz w:val="28"/>
          <w:szCs w:val="28"/>
        </w:rPr>
        <w:t xml:space="preserve"> 五、投資取得之收益應全數撥充校務基金，由學校統籌運用，其運用範圍為：</w:t>
      </w:r>
    </w:p>
    <w:p w:rsidR="00D45CE8" w:rsidRPr="00BC7C82" w:rsidRDefault="00D45CE8" w:rsidP="00D45CE8">
      <w:pPr>
        <w:pStyle w:val="Web"/>
        <w:adjustRightInd w:val="0"/>
        <w:snapToGrid w:val="0"/>
        <w:spacing w:before="0" w:beforeAutospacing="0" w:after="0" w:afterAutospacing="0" w:line="400" w:lineRule="exact"/>
        <w:ind w:leftChars="281" w:left="1514" w:hangingChars="300" w:hanging="840"/>
        <w:rPr>
          <w:rFonts w:ascii="標楷體" w:eastAsia="標楷體" w:hAnsi="標楷體"/>
          <w:sz w:val="28"/>
          <w:szCs w:val="28"/>
        </w:rPr>
      </w:pPr>
      <w:r w:rsidRPr="00BC7C82">
        <w:rPr>
          <w:rFonts w:ascii="標楷體" w:eastAsia="標楷體" w:hAnsi="標楷體" w:hint="eastAsia"/>
          <w:sz w:val="28"/>
          <w:szCs w:val="28"/>
        </w:rPr>
        <w:t>（一）編制內教師本薪（年功薪）、加給以外之給與及編制外人員之薪資。</w:t>
      </w:r>
    </w:p>
    <w:p w:rsidR="00D45CE8" w:rsidRPr="00BC7C82" w:rsidRDefault="00D45CE8" w:rsidP="00D45CE8">
      <w:pPr>
        <w:pStyle w:val="Web"/>
        <w:adjustRightInd w:val="0"/>
        <w:snapToGrid w:val="0"/>
        <w:spacing w:before="0" w:beforeAutospacing="0" w:after="0" w:afterAutospacing="0" w:line="400" w:lineRule="exact"/>
        <w:ind w:leftChars="-69" w:left="-166" w:firstLineChars="300" w:firstLine="840"/>
        <w:rPr>
          <w:rFonts w:ascii="標楷體" w:eastAsia="標楷體" w:hAnsi="標楷體"/>
          <w:sz w:val="28"/>
          <w:szCs w:val="28"/>
        </w:rPr>
      </w:pPr>
      <w:r w:rsidRPr="00BC7C82">
        <w:rPr>
          <w:rFonts w:ascii="標楷體" w:eastAsia="標楷體" w:hAnsi="標楷體" w:hint="eastAsia"/>
          <w:sz w:val="28"/>
          <w:szCs w:val="28"/>
        </w:rPr>
        <w:t>（二）講座經費支應。</w:t>
      </w:r>
    </w:p>
    <w:p w:rsidR="00D45CE8" w:rsidRPr="00BC7C82" w:rsidRDefault="00D45CE8" w:rsidP="00D45CE8">
      <w:pPr>
        <w:pStyle w:val="Web"/>
        <w:adjustRightInd w:val="0"/>
        <w:snapToGrid w:val="0"/>
        <w:spacing w:before="0" w:beforeAutospacing="0" w:after="0" w:afterAutospacing="0" w:line="400" w:lineRule="exact"/>
        <w:ind w:leftChars="-69" w:left="-166" w:firstLineChars="300" w:firstLine="840"/>
        <w:rPr>
          <w:rFonts w:ascii="標楷體" w:eastAsia="標楷體" w:hAnsi="標楷體"/>
          <w:sz w:val="28"/>
          <w:szCs w:val="28"/>
        </w:rPr>
      </w:pPr>
      <w:r w:rsidRPr="00BC7C82">
        <w:rPr>
          <w:rFonts w:ascii="標楷體" w:eastAsia="標楷體" w:hAnsi="標楷體" w:hint="eastAsia"/>
          <w:sz w:val="28"/>
          <w:szCs w:val="28"/>
        </w:rPr>
        <w:t>（三）教師教學及學術研究獎勵支應。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00" w:lineRule="exact"/>
        <w:ind w:leftChars="-69" w:left="-166" w:firstLineChars="300" w:firstLine="84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（四）出國旅費支應。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00" w:lineRule="exact"/>
        <w:ind w:leftChars="-69" w:left="-166" w:firstLineChars="300" w:firstLine="84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（五）公務車輛之增購、</w:t>
      </w:r>
      <w:proofErr w:type="gramStart"/>
      <w:r w:rsidRPr="00812995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812995">
        <w:rPr>
          <w:rFonts w:ascii="標楷體" w:eastAsia="標楷體" w:hAnsi="標楷體" w:hint="eastAsia"/>
          <w:sz w:val="28"/>
          <w:szCs w:val="28"/>
        </w:rPr>
        <w:t>換及全時租賃。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00" w:lineRule="exact"/>
        <w:ind w:leftChars="-69" w:left="-166" w:firstLineChars="300" w:firstLine="84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（六）新興工程、資產及設備之增置、擴充與改良之支應。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812995">
        <w:rPr>
          <w:rFonts w:ascii="標楷體" w:eastAsia="標楷體" w:hAnsi="標楷體" w:hint="eastAsia"/>
          <w:sz w:val="28"/>
          <w:szCs w:val="28"/>
        </w:rPr>
        <w:t>、為使校務基金之收入及運用發揮最大經濟效益，本校設置投資管理小組，</w:t>
      </w:r>
    </w:p>
    <w:p w:rsidR="00D45CE8" w:rsidRPr="00812995" w:rsidRDefault="00D45CE8" w:rsidP="00D45CE8">
      <w:pPr>
        <w:widowControl/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   </w:t>
      </w:r>
      <w:r w:rsidRPr="00812995">
        <w:rPr>
          <w:rFonts w:ascii="標楷體" w:eastAsia="標楷體" w:hAnsi="標楷體" w:hint="eastAsia"/>
          <w:sz w:val="28"/>
          <w:szCs w:val="28"/>
        </w:rPr>
        <w:t>負責第三點之相關投資事宜。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Chars="39" w:left="654" w:hangingChars="200" w:hanging="560"/>
        <w:rPr>
          <w:rFonts w:ascii="標楷體" w:eastAsia="標楷體" w:hAnsi="標楷體" w:cs="Times New Roman"/>
          <w:strike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812995">
        <w:rPr>
          <w:rFonts w:ascii="標楷體" w:eastAsia="標楷體" w:hAnsi="標楷體" w:hint="eastAsia"/>
          <w:sz w:val="28"/>
          <w:szCs w:val="28"/>
        </w:rPr>
        <w:t>、投資管理小組置委員七至九人，委員任期兩年，其中副校長、總務長、主任秘書、研發長、主計主任為當然委員，另由校長</w:t>
      </w:r>
      <w:proofErr w:type="gramStart"/>
      <w:r w:rsidRPr="00812995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812995">
        <w:rPr>
          <w:rFonts w:ascii="標楷體" w:eastAsia="標楷體" w:hAnsi="標楷體" w:hint="eastAsia"/>
          <w:sz w:val="28"/>
          <w:szCs w:val="28"/>
        </w:rPr>
        <w:t>聘校務基金管理委員</w:t>
      </w:r>
      <w:r w:rsidRPr="00812995">
        <w:rPr>
          <w:rFonts w:ascii="標楷體" w:eastAsia="標楷體" w:hAnsi="標楷體" w:cs="Times New Roman" w:hint="eastAsia"/>
          <w:sz w:val="28"/>
          <w:szCs w:val="28"/>
        </w:rPr>
        <w:t>或教師代</w:t>
      </w:r>
      <w:r w:rsidRPr="00812995">
        <w:rPr>
          <w:rFonts w:ascii="標楷體" w:eastAsia="標楷體" w:hAnsi="標楷體" w:cs="Times New Roman" w:hint="eastAsia"/>
          <w:kern w:val="2"/>
          <w:sz w:val="28"/>
          <w:szCs w:val="28"/>
        </w:rPr>
        <w:t>表</w:t>
      </w:r>
      <w:r w:rsidRPr="00812995">
        <w:rPr>
          <w:rFonts w:ascii="標楷體" w:eastAsia="標楷體" w:hAnsi="標楷體" w:hint="eastAsia"/>
          <w:sz w:val="28"/>
          <w:szCs w:val="28"/>
        </w:rPr>
        <w:t>數人組成之，必要時得聘請</w:t>
      </w:r>
      <w:proofErr w:type="gramStart"/>
      <w:r w:rsidRPr="00812995">
        <w:rPr>
          <w:rFonts w:ascii="標楷體" w:eastAsia="標楷體" w:hAnsi="標楷體" w:cs="微軟正黑體" w:hint="eastAsia"/>
          <w:sz w:val="28"/>
          <w:szCs w:val="28"/>
        </w:rPr>
        <w:t>校外具產學</w:t>
      </w:r>
      <w:proofErr w:type="gramEnd"/>
      <w:r w:rsidRPr="00812995">
        <w:rPr>
          <w:rFonts w:ascii="標楷體" w:eastAsia="標楷體" w:hAnsi="標楷體" w:cs="微軟正黑體" w:hint="eastAsia"/>
          <w:sz w:val="28"/>
          <w:szCs w:val="28"/>
        </w:rPr>
        <w:t>營運或投資理財專業知識之人士參與，並陳請校長核定後任命之；</w:t>
      </w:r>
      <w:r w:rsidRPr="00812995">
        <w:rPr>
          <w:rFonts w:ascii="標楷體" w:eastAsia="標楷體" w:hAnsi="標楷體" w:hint="eastAsia"/>
          <w:sz w:val="28"/>
          <w:szCs w:val="28"/>
        </w:rPr>
        <w:t>由副校長擔任召集人，總務長為執行秘書，總務處職員一人擔任幹事。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 xml:space="preserve"> 投資管理小組應</w:t>
      </w:r>
      <w:r w:rsidRPr="00BC7C82">
        <w:rPr>
          <w:rFonts w:ascii="標楷體" w:eastAsia="標楷體" w:hAnsi="標楷體" w:hint="eastAsia"/>
          <w:sz w:val="28"/>
          <w:szCs w:val="28"/>
        </w:rPr>
        <w:t>每年開會一</w:t>
      </w:r>
      <w:r w:rsidRPr="00812995">
        <w:rPr>
          <w:rFonts w:ascii="標楷體" w:eastAsia="標楷體" w:hAnsi="標楷體" w:hint="eastAsia"/>
          <w:sz w:val="28"/>
          <w:szCs w:val="28"/>
        </w:rPr>
        <w:t>次，必要時得召開臨時會，召開會議時得邀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Chars="234" w:left="1122" w:hangingChars="200" w:hanging="560"/>
        <w:rPr>
          <w:rFonts w:ascii="標楷體" w:eastAsia="標楷體" w:hAnsi="標楷體" w:cs="微軟正黑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 xml:space="preserve"> 請相關業務人員列席，</w:t>
      </w:r>
      <w:r w:rsidRPr="00812995">
        <w:rPr>
          <w:rFonts w:ascii="標楷體" w:eastAsia="標楷體" w:hAnsi="標楷體" w:cs="微軟正黑體" w:hint="eastAsia"/>
          <w:sz w:val="28"/>
          <w:szCs w:val="28"/>
        </w:rPr>
        <w:t>前項小組</w:t>
      </w:r>
      <w:proofErr w:type="gramStart"/>
      <w:r w:rsidRPr="00812995">
        <w:rPr>
          <w:rFonts w:ascii="標楷體" w:eastAsia="標楷體" w:hAnsi="標楷體" w:cs="微軟正黑體" w:hint="eastAsia"/>
          <w:sz w:val="28"/>
          <w:szCs w:val="28"/>
        </w:rPr>
        <w:t>成員均為無</w:t>
      </w:r>
      <w:proofErr w:type="gramEnd"/>
      <w:r w:rsidRPr="00812995">
        <w:rPr>
          <w:rFonts w:ascii="標楷體" w:eastAsia="標楷體" w:hAnsi="標楷體" w:cs="微軟正黑體" w:hint="eastAsia"/>
          <w:sz w:val="28"/>
          <w:szCs w:val="28"/>
        </w:rPr>
        <w:t>給職，但校外委員得支出席費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cs="微軟正黑體" w:hint="eastAsia"/>
          <w:sz w:val="28"/>
          <w:szCs w:val="28"/>
        </w:rPr>
        <w:t xml:space="preserve"> 及交通費。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812995">
        <w:rPr>
          <w:rFonts w:ascii="標楷體" w:eastAsia="標楷體" w:hAnsi="標楷體" w:hint="eastAsia"/>
          <w:sz w:val="28"/>
          <w:szCs w:val="28"/>
        </w:rPr>
        <w:t>、投資管理小組應訂定每年度之投資計畫（包含市場評估、投資組合及發生短</w:t>
      </w:r>
      <w:proofErr w:type="gramStart"/>
      <w:r w:rsidRPr="00812995">
        <w:rPr>
          <w:rFonts w:ascii="標楷體" w:eastAsia="標楷體" w:hAnsi="標楷體" w:hint="eastAsia"/>
          <w:sz w:val="28"/>
          <w:szCs w:val="28"/>
        </w:rPr>
        <w:t>絀</w:t>
      </w:r>
      <w:proofErr w:type="gramEnd"/>
      <w:r w:rsidRPr="00812995">
        <w:rPr>
          <w:rFonts w:ascii="標楷體" w:eastAsia="標楷體" w:hAnsi="標楷體" w:hint="eastAsia"/>
          <w:sz w:val="28"/>
          <w:szCs w:val="28"/>
        </w:rPr>
        <w:t>之補填），投資計畫應提校務基金管理委員會核定，經費動支應依程序簽陳校長同意後辦理；</w:t>
      </w:r>
      <w:r w:rsidRPr="00812995">
        <w:rPr>
          <w:rFonts w:ascii="標楷體" w:eastAsia="標楷體" w:hAnsi="標楷體" w:cs="微軟正黑體" w:hint="eastAsia"/>
          <w:sz w:val="28"/>
          <w:szCs w:val="28"/>
        </w:rPr>
        <w:t>投資規劃及效益應納入本校財務規劃報告書、校務基金績效報告書並送教育部備查</w:t>
      </w:r>
      <w:r w:rsidRPr="00812995">
        <w:rPr>
          <w:rFonts w:ascii="標楷體" w:eastAsia="標楷體" w:hAnsi="標楷體" w:hint="eastAsia"/>
          <w:sz w:val="28"/>
          <w:szCs w:val="28"/>
        </w:rPr>
        <w:t>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812995">
        <w:rPr>
          <w:rFonts w:ascii="標楷體" w:eastAsia="標楷體" w:hAnsi="標楷體" w:hint="eastAsia"/>
          <w:sz w:val="28"/>
          <w:szCs w:val="28"/>
        </w:rPr>
        <w:t>、投資收入之收支之會計帳</w:t>
      </w:r>
      <w:proofErr w:type="gramStart"/>
      <w:r w:rsidRPr="0081299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12995">
        <w:rPr>
          <w:rFonts w:ascii="標楷體" w:eastAsia="標楷體" w:hAnsi="標楷體" w:hint="eastAsia"/>
          <w:sz w:val="28"/>
          <w:szCs w:val="28"/>
        </w:rPr>
        <w:t>處理依教育部所頒「國立大學校院校務基金會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計制度一致規定」辦理。其收支、保管及運用，應設置</w:t>
      </w:r>
      <w:proofErr w:type="gramStart"/>
      <w:r w:rsidRPr="00812995">
        <w:rPr>
          <w:rFonts w:ascii="標楷體" w:eastAsia="標楷體" w:hAnsi="標楷體" w:hint="eastAsia"/>
          <w:sz w:val="28"/>
          <w:szCs w:val="28"/>
        </w:rPr>
        <w:t>專帳</w:t>
      </w:r>
      <w:proofErr w:type="gramEnd"/>
      <w:r w:rsidRPr="00812995">
        <w:rPr>
          <w:rFonts w:ascii="標楷體" w:eastAsia="標楷體" w:hAnsi="標楷體" w:hint="eastAsia"/>
          <w:sz w:val="28"/>
          <w:szCs w:val="28"/>
        </w:rPr>
        <w:t>處理，由會計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人員負責帳</w:t>
      </w:r>
      <w:proofErr w:type="gramStart"/>
      <w:r w:rsidRPr="00812995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812995">
        <w:rPr>
          <w:rFonts w:ascii="標楷體" w:eastAsia="標楷體" w:hAnsi="標楷體" w:hint="eastAsia"/>
          <w:sz w:val="28"/>
          <w:szCs w:val="28"/>
        </w:rPr>
        <w:t>處理及彙編財務報表。並應備妥投資收入之收支憑證，以利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Chars="234" w:left="1122" w:hangingChars="200" w:hanging="56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教育部之監督及本校經費稽核委員會之稽核。</w:t>
      </w:r>
    </w:p>
    <w:p w:rsidR="00D45CE8" w:rsidRPr="00812995" w:rsidRDefault="00D45CE8" w:rsidP="00D45CE8">
      <w:pPr>
        <w:pStyle w:val="Web"/>
        <w:adjustRightInd w:val="0"/>
        <w:snapToGrid w:val="0"/>
        <w:spacing w:before="0" w:beforeAutospacing="0" w:after="0" w:afterAutospacing="0" w:line="44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>十、本要點經行政會議通過，提校務基金管理委員會審議通過後實施，修正時</w:t>
      </w:r>
    </w:p>
    <w:p w:rsidR="00D45CE8" w:rsidRDefault="00D45CE8" w:rsidP="00BC7C82">
      <w:pPr>
        <w:pStyle w:val="Web"/>
        <w:adjustRightInd w:val="0"/>
        <w:snapToGrid w:val="0"/>
        <w:spacing w:before="0" w:beforeAutospacing="0" w:after="0" w:afterAutospacing="0" w:line="44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812995">
        <w:rPr>
          <w:rFonts w:ascii="標楷體" w:eastAsia="標楷體" w:hAnsi="標楷體" w:hint="eastAsia"/>
          <w:sz w:val="28"/>
          <w:szCs w:val="28"/>
        </w:rPr>
        <w:t xml:space="preserve">    亦同。</w:t>
      </w:r>
      <w:bookmarkStart w:id="0" w:name="_GoBack"/>
      <w:bookmarkEnd w:id="0"/>
    </w:p>
    <w:sectPr w:rsidR="00D45CE8" w:rsidSect="00C4120B">
      <w:pgSz w:w="11906" w:h="16838"/>
      <w:pgMar w:top="1440" w:right="624" w:bottom="14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EA9"/>
    <w:multiLevelType w:val="hybridMultilevel"/>
    <w:tmpl w:val="2774078A"/>
    <w:lvl w:ilvl="0" w:tplc="10F26E0C">
      <w:start w:val="1"/>
      <w:numFmt w:val="decimal"/>
      <w:lvlText w:val="%1."/>
      <w:lvlJc w:val="left"/>
      <w:pPr>
        <w:ind w:left="914" w:hanging="360"/>
      </w:pPr>
    </w:lvl>
    <w:lvl w:ilvl="1" w:tplc="04090019">
      <w:start w:val="1"/>
      <w:numFmt w:val="ideographTraditional"/>
      <w:lvlText w:val="%2、"/>
      <w:lvlJc w:val="left"/>
      <w:pPr>
        <w:ind w:left="1514" w:hanging="480"/>
      </w:pPr>
    </w:lvl>
    <w:lvl w:ilvl="2" w:tplc="0409001B">
      <w:start w:val="1"/>
      <w:numFmt w:val="lowerRoman"/>
      <w:lvlText w:val="%3."/>
      <w:lvlJc w:val="right"/>
      <w:pPr>
        <w:ind w:left="1994" w:hanging="480"/>
      </w:pPr>
    </w:lvl>
    <w:lvl w:ilvl="3" w:tplc="0409000F">
      <w:start w:val="1"/>
      <w:numFmt w:val="decimal"/>
      <w:lvlText w:val="%4."/>
      <w:lvlJc w:val="left"/>
      <w:pPr>
        <w:ind w:left="2474" w:hanging="480"/>
      </w:pPr>
    </w:lvl>
    <w:lvl w:ilvl="4" w:tplc="04090019">
      <w:start w:val="1"/>
      <w:numFmt w:val="ideographTraditional"/>
      <w:lvlText w:val="%5、"/>
      <w:lvlJc w:val="left"/>
      <w:pPr>
        <w:ind w:left="2954" w:hanging="480"/>
      </w:pPr>
    </w:lvl>
    <w:lvl w:ilvl="5" w:tplc="0409001B">
      <w:start w:val="1"/>
      <w:numFmt w:val="lowerRoman"/>
      <w:lvlText w:val="%6."/>
      <w:lvlJc w:val="right"/>
      <w:pPr>
        <w:ind w:left="3434" w:hanging="480"/>
      </w:pPr>
    </w:lvl>
    <w:lvl w:ilvl="6" w:tplc="0409000F">
      <w:start w:val="1"/>
      <w:numFmt w:val="decimal"/>
      <w:lvlText w:val="%7."/>
      <w:lvlJc w:val="left"/>
      <w:pPr>
        <w:ind w:left="3914" w:hanging="480"/>
      </w:pPr>
    </w:lvl>
    <w:lvl w:ilvl="7" w:tplc="04090019">
      <w:start w:val="1"/>
      <w:numFmt w:val="ideographTraditional"/>
      <w:lvlText w:val="%8、"/>
      <w:lvlJc w:val="left"/>
      <w:pPr>
        <w:ind w:left="4394" w:hanging="480"/>
      </w:pPr>
    </w:lvl>
    <w:lvl w:ilvl="8" w:tplc="0409001B">
      <w:start w:val="1"/>
      <w:numFmt w:val="lowerRoman"/>
      <w:lvlText w:val="%9."/>
      <w:lvlJc w:val="right"/>
      <w:pPr>
        <w:ind w:left="4874" w:hanging="480"/>
      </w:pPr>
    </w:lvl>
  </w:abstractNum>
  <w:abstractNum w:abstractNumId="1" w15:restartNumberingAfterBreak="0">
    <w:nsid w:val="0DBD5105"/>
    <w:multiLevelType w:val="hybridMultilevel"/>
    <w:tmpl w:val="A5E4B08A"/>
    <w:lvl w:ilvl="0" w:tplc="04090015">
      <w:start w:val="3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423C24"/>
    <w:multiLevelType w:val="hybridMultilevel"/>
    <w:tmpl w:val="837487F2"/>
    <w:lvl w:ilvl="0" w:tplc="F66C1F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9D4C0F"/>
    <w:multiLevelType w:val="hybridMultilevel"/>
    <w:tmpl w:val="D0B2CA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4041C"/>
    <w:multiLevelType w:val="hybridMultilevel"/>
    <w:tmpl w:val="9E443782"/>
    <w:lvl w:ilvl="0" w:tplc="04090015">
      <w:start w:val="3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125785"/>
    <w:multiLevelType w:val="hybridMultilevel"/>
    <w:tmpl w:val="837487F2"/>
    <w:lvl w:ilvl="0" w:tplc="F66C1F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1B1665"/>
    <w:multiLevelType w:val="hybridMultilevel"/>
    <w:tmpl w:val="415CD4E4"/>
    <w:lvl w:ilvl="0" w:tplc="04090015">
      <w:start w:val="6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2D3A2B"/>
    <w:multiLevelType w:val="hybridMultilevel"/>
    <w:tmpl w:val="BF9097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4C43B3"/>
    <w:multiLevelType w:val="hybridMultilevel"/>
    <w:tmpl w:val="2D14D7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58050F"/>
    <w:multiLevelType w:val="hybridMultilevel"/>
    <w:tmpl w:val="7B18B358"/>
    <w:lvl w:ilvl="0" w:tplc="BCE05D7A">
      <w:start w:val="1"/>
      <w:numFmt w:val="taiwaneseCountingThousand"/>
      <w:lvlText w:val="(%1)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61B0CC0"/>
    <w:multiLevelType w:val="hybridMultilevel"/>
    <w:tmpl w:val="0AF6C590"/>
    <w:lvl w:ilvl="0" w:tplc="668222B6">
      <w:start w:val="1"/>
      <w:numFmt w:val="taiwaneseCountingThousand"/>
      <w:lvlText w:val="（%1)"/>
      <w:lvlJc w:val="left"/>
      <w:pPr>
        <w:ind w:left="883" w:hanging="720"/>
      </w:pPr>
    </w:lvl>
    <w:lvl w:ilvl="1" w:tplc="04090019">
      <w:start w:val="1"/>
      <w:numFmt w:val="ideographTraditional"/>
      <w:lvlText w:val="%2、"/>
      <w:lvlJc w:val="left"/>
      <w:pPr>
        <w:ind w:left="1123" w:hanging="480"/>
      </w:pPr>
    </w:lvl>
    <w:lvl w:ilvl="2" w:tplc="0409001B">
      <w:start w:val="1"/>
      <w:numFmt w:val="lowerRoman"/>
      <w:lvlText w:val="%3."/>
      <w:lvlJc w:val="right"/>
      <w:pPr>
        <w:ind w:left="1603" w:hanging="480"/>
      </w:pPr>
    </w:lvl>
    <w:lvl w:ilvl="3" w:tplc="0409000F">
      <w:start w:val="1"/>
      <w:numFmt w:val="decimal"/>
      <w:lvlText w:val="%4."/>
      <w:lvlJc w:val="left"/>
      <w:pPr>
        <w:ind w:left="2083" w:hanging="480"/>
      </w:pPr>
    </w:lvl>
    <w:lvl w:ilvl="4" w:tplc="04090019">
      <w:start w:val="1"/>
      <w:numFmt w:val="ideographTraditional"/>
      <w:lvlText w:val="%5、"/>
      <w:lvlJc w:val="left"/>
      <w:pPr>
        <w:ind w:left="2563" w:hanging="480"/>
      </w:pPr>
    </w:lvl>
    <w:lvl w:ilvl="5" w:tplc="0409001B">
      <w:start w:val="1"/>
      <w:numFmt w:val="lowerRoman"/>
      <w:lvlText w:val="%6."/>
      <w:lvlJc w:val="right"/>
      <w:pPr>
        <w:ind w:left="3043" w:hanging="480"/>
      </w:pPr>
    </w:lvl>
    <w:lvl w:ilvl="6" w:tplc="0409000F">
      <w:start w:val="1"/>
      <w:numFmt w:val="decimal"/>
      <w:lvlText w:val="%7."/>
      <w:lvlJc w:val="left"/>
      <w:pPr>
        <w:ind w:left="3523" w:hanging="480"/>
      </w:pPr>
    </w:lvl>
    <w:lvl w:ilvl="7" w:tplc="04090019">
      <w:start w:val="1"/>
      <w:numFmt w:val="ideographTraditional"/>
      <w:lvlText w:val="%8、"/>
      <w:lvlJc w:val="left"/>
      <w:pPr>
        <w:ind w:left="4003" w:hanging="480"/>
      </w:pPr>
    </w:lvl>
    <w:lvl w:ilvl="8" w:tplc="0409001B">
      <w:start w:val="1"/>
      <w:numFmt w:val="lowerRoman"/>
      <w:lvlText w:val="%9."/>
      <w:lvlJc w:val="right"/>
      <w:pPr>
        <w:ind w:left="4483" w:hanging="480"/>
      </w:pPr>
    </w:lvl>
  </w:abstractNum>
  <w:abstractNum w:abstractNumId="11" w15:restartNumberingAfterBreak="0">
    <w:nsid w:val="5AFE1132"/>
    <w:multiLevelType w:val="hybridMultilevel"/>
    <w:tmpl w:val="F6C216B4"/>
    <w:lvl w:ilvl="0" w:tplc="6C4AB0A4">
      <w:start w:val="1"/>
      <w:numFmt w:val="taiwaneseCountingThousand"/>
      <w:lvlText w:val="（%1）"/>
      <w:lvlJc w:val="left"/>
      <w:pPr>
        <w:ind w:left="960" w:hanging="72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44733F2"/>
    <w:multiLevelType w:val="hybridMultilevel"/>
    <w:tmpl w:val="31EA50E4"/>
    <w:lvl w:ilvl="0" w:tplc="CC9E730C">
      <w:start w:val="1"/>
      <w:numFmt w:val="decimal"/>
      <w:lvlText w:val="%1."/>
      <w:lvlJc w:val="left"/>
      <w:pPr>
        <w:ind w:left="914" w:hanging="360"/>
      </w:pPr>
    </w:lvl>
    <w:lvl w:ilvl="1" w:tplc="04090019">
      <w:start w:val="1"/>
      <w:numFmt w:val="ideographTraditional"/>
      <w:lvlText w:val="%2、"/>
      <w:lvlJc w:val="left"/>
      <w:pPr>
        <w:ind w:left="1514" w:hanging="480"/>
      </w:pPr>
    </w:lvl>
    <w:lvl w:ilvl="2" w:tplc="0409001B">
      <w:start w:val="1"/>
      <w:numFmt w:val="lowerRoman"/>
      <w:lvlText w:val="%3."/>
      <w:lvlJc w:val="right"/>
      <w:pPr>
        <w:ind w:left="1994" w:hanging="480"/>
      </w:pPr>
    </w:lvl>
    <w:lvl w:ilvl="3" w:tplc="0409000F">
      <w:start w:val="1"/>
      <w:numFmt w:val="decimal"/>
      <w:lvlText w:val="%4."/>
      <w:lvlJc w:val="left"/>
      <w:pPr>
        <w:ind w:left="2474" w:hanging="480"/>
      </w:pPr>
    </w:lvl>
    <w:lvl w:ilvl="4" w:tplc="04090019">
      <w:start w:val="1"/>
      <w:numFmt w:val="ideographTraditional"/>
      <w:lvlText w:val="%5、"/>
      <w:lvlJc w:val="left"/>
      <w:pPr>
        <w:ind w:left="2954" w:hanging="480"/>
      </w:pPr>
    </w:lvl>
    <w:lvl w:ilvl="5" w:tplc="0409001B">
      <w:start w:val="1"/>
      <w:numFmt w:val="lowerRoman"/>
      <w:lvlText w:val="%6."/>
      <w:lvlJc w:val="right"/>
      <w:pPr>
        <w:ind w:left="3434" w:hanging="480"/>
      </w:pPr>
    </w:lvl>
    <w:lvl w:ilvl="6" w:tplc="0409000F">
      <w:start w:val="1"/>
      <w:numFmt w:val="decimal"/>
      <w:lvlText w:val="%7."/>
      <w:lvlJc w:val="left"/>
      <w:pPr>
        <w:ind w:left="3914" w:hanging="480"/>
      </w:pPr>
    </w:lvl>
    <w:lvl w:ilvl="7" w:tplc="04090019">
      <w:start w:val="1"/>
      <w:numFmt w:val="ideographTraditional"/>
      <w:lvlText w:val="%8、"/>
      <w:lvlJc w:val="left"/>
      <w:pPr>
        <w:ind w:left="4394" w:hanging="480"/>
      </w:pPr>
    </w:lvl>
    <w:lvl w:ilvl="8" w:tplc="0409001B">
      <w:start w:val="1"/>
      <w:numFmt w:val="lowerRoman"/>
      <w:lvlText w:val="%9."/>
      <w:lvlJc w:val="right"/>
      <w:pPr>
        <w:ind w:left="4874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B"/>
    <w:rsid w:val="00031522"/>
    <w:rsid w:val="00085BF2"/>
    <w:rsid w:val="00091522"/>
    <w:rsid w:val="00234E72"/>
    <w:rsid w:val="002D3E97"/>
    <w:rsid w:val="00303D22"/>
    <w:rsid w:val="00314A10"/>
    <w:rsid w:val="00367279"/>
    <w:rsid w:val="003C3196"/>
    <w:rsid w:val="003E50E5"/>
    <w:rsid w:val="00497FDC"/>
    <w:rsid w:val="004B7464"/>
    <w:rsid w:val="004D331F"/>
    <w:rsid w:val="00710474"/>
    <w:rsid w:val="00727AA3"/>
    <w:rsid w:val="0078150A"/>
    <w:rsid w:val="007A69AF"/>
    <w:rsid w:val="007E0CD5"/>
    <w:rsid w:val="009052C5"/>
    <w:rsid w:val="009070DF"/>
    <w:rsid w:val="0094385D"/>
    <w:rsid w:val="009B6D61"/>
    <w:rsid w:val="00AA0D74"/>
    <w:rsid w:val="00B33AA8"/>
    <w:rsid w:val="00B61B8B"/>
    <w:rsid w:val="00BA309F"/>
    <w:rsid w:val="00BB411A"/>
    <w:rsid w:val="00BB5AE5"/>
    <w:rsid w:val="00BC7C82"/>
    <w:rsid w:val="00BF4BA4"/>
    <w:rsid w:val="00C4120B"/>
    <w:rsid w:val="00C764CB"/>
    <w:rsid w:val="00CA49DA"/>
    <w:rsid w:val="00D45CE8"/>
    <w:rsid w:val="00DB39E2"/>
    <w:rsid w:val="00D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394C"/>
  <w15:chartTrackingRefBased/>
  <w15:docId w15:val="{FA315238-66AB-4277-A008-D5C62F1F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semiHidden/>
    <w:unhideWhenUsed/>
    <w:qFormat/>
    <w:rsid w:val="00367279"/>
    <w:pPr>
      <w:widowControl/>
      <w:spacing w:before="100" w:beforeAutospacing="1" w:after="100" w:afterAutospacing="1"/>
      <w:outlineLvl w:val="1"/>
    </w:pPr>
    <w:rPr>
      <w:rFonts w:ascii="sө" w:eastAsia="Arial Unicode MS" w:hAnsi="sө" w:cs="Arial Unicode MS"/>
      <w:color w:val="CC99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4120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List Paragraph"/>
    <w:basedOn w:val="a"/>
    <w:uiPriority w:val="34"/>
    <w:qFormat/>
    <w:rsid w:val="00C4120B"/>
    <w:pPr>
      <w:ind w:leftChars="200" w:left="480"/>
    </w:pPr>
  </w:style>
  <w:style w:type="table" w:styleId="a4">
    <w:name w:val="Table Grid"/>
    <w:basedOn w:val="a1"/>
    <w:uiPriority w:val="39"/>
    <w:rsid w:val="00C4120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367279"/>
    <w:rPr>
      <w:rFonts w:ascii="sө" w:eastAsia="Arial Unicode MS" w:hAnsi="sө" w:cs="Arial Unicode MS"/>
      <w:color w:val="CC9900"/>
      <w:kern w:val="0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905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5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2023-03-03T06:35:00Z</cp:lastPrinted>
  <dcterms:created xsi:type="dcterms:W3CDTF">2023-04-13T06:18:00Z</dcterms:created>
  <dcterms:modified xsi:type="dcterms:W3CDTF">2023-04-13T06:21:00Z</dcterms:modified>
</cp:coreProperties>
</file>